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361C29">
      <w:pPr>
        <w:keepNext w:val="0"/>
        <w:keepLines w:val="0"/>
        <w:pageBreakBefore w:val="0"/>
        <w:widowControl w:val="0"/>
        <w:kinsoku/>
        <w:wordWrap/>
        <w:overflowPunct w:val="0"/>
        <w:topLinePunct w:val="0"/>
        <w:autoSpaceDE/>
        <w:autoSpaceDN/>
        <w:bidi w:val="0"/>
        <w:adjustRightInd w:val="0"/>
        <w:snapToGrid w:val="0"/>
        <w:spacing w:line="520" w:lineRule="exact"/>
        <w:ind w:left="0" w:leftChars="0" w:right="64" w:rightChars="20" w:firstLine="0" w:firstLineChars="0"/>
        <w:textAlignment w:val="auto"/>
        <w:rPr>
          <w:rFonts w:hint="eastAsia" w:ascii="黑体" w:hAnsi="黑体" w:eastAsia="黑体" w:cs="黑体"/>
          <w:snapToGrid w:val="0"/>
          <w:color w:val="auto"/>
          <w:kern w:val="0"/>
          <w:sz w:val="32"/>
          <w:szCs w:val="32"/>
          <w:highlight w:val="none"/>
        </w:rPr>
      </w:pPr>
      <w:bookmarkStart w:id="0" w:name="_GoBack"/>
      <w:r>
        <w:rPr>
          <w:rFonts w:hint="eastAsia" w:ascii="黑体" w:hAnsi="黑体" w:eastAsia="黑体" w:cs="黑体"/>
          <w:snapToGrid w:val="0"/>
          <w:color w:val="auto"/>
          <w:kern w:val="0"/>
          <w:sz w:val="32"/>
          <w:szCs w:val="32"/>
          <w:highlight w:val="none"/>
        </w:rPr>
        <w:t>附件3</w:t>
      </w:r>
    </w:p>
    <w:p w14:paraId="2D88438E">
      <w:pPr>
        <w:pStyle w:val="4"/>
        <w:keepNext w:val="0"/>
        <w:keepLines w:val="0"/>
        <w:pageBreakBefore w:val="0"/>
        <w:widowControl w:val="0"/>
        <w:kinsoku/>
        <w:wordWrap/>
        <w:topLinePunct w:val="0"/>
        <w:autoSpaceDE/>
        <w:autoSpaceDN/>
        <w:bidi w:val="0"/>
        <w:spacing w:line="520" w:lineRule="exact"/>
        <w:textAlignment w:val="auto"/>
        <w:rPr>
          <w:rFonts w:hint="eastAsia"/>
          <w:color w:val="auto"/>
          <w:highlight w:val="none"/>
        </w:rPr>
      </w:pPr>
    </w:p>
    <w:p w14:paraId="72D1E7EF">
      <w:pPr>
        <w:keepNext w:val="0"/>
        <w:keepLines w:val="0"/>
        <w:pageBreakBefore w:val="0"/>
        <w:widowControl w:val="0"/>
        <w:kinsoku/>
        <w:wordWrap/>
        <w:overflowPunct w:val="0"/>
        <w:topLinePunct w:val="0"/>
        <w:autoSpaceDE/>
        <w:autoSpaceDN/>
        <w:bidi w:val="0"/>
        <w:adjustRightInd w:val="0"/>
        <w:snapToGrid w:val="0"/>
        <w:spacing w:line="520" w:lineRule="exact"/>
        <w:ind w:left="64" w:leftChars="20" w:right="64" w:rightChars="20"/>
        <w:jc w:val="center"/>
        <w:textAlignment w:val="auto"/>
        <w:rPr>
          <w:rFonts w:hint="eastAsia" w:ascii="方正小标宋_GBK" w:hAnsi="方正小标宋_GBK" w:eastAsia="方正小标宋_GBK" w:cs="方正小标宋_GBK"/>
          <w:snapToGrid w:val="0"/>
          <w:color w:val="auto"/>
          <w:sz w:val="40"/>
          <w:szCs w:val="40"/>
          <w:highlight w:val="none"/>
        </w:rPr>
      </w:pPr>
      <w:r>
        <w:rPr>
          <w:rFonts w:hint="eastAsia" w:ascii="方正小标宋简体" w:hAnsi="方正小标宋简体" w:eastAsia="方正小标宋简体" w:cs="方正小标宋简体"/>
          <w:snapToGrid w:val="0"/>
          <w:color w:val="auto"/>
          <w:sz w:val="44"/>
          <w:szCs w:val="44"/>
          <w:highlight w:val="none"/>
        </w:rPr>
        <w:t>集中照护服务</w:t>
      </w:r>
      <w:r>
        <w:rPr>
          <w:rFonts w:hint="eastAsia" w:ascii="方正小标宋简体" w:hAnsi="方正小标宋简体" w:eastAsia="方正小标宋简体" w:cs="方正小标宋简体"/>
          <w:snapToGrid w:val="0"/>
          <w:color w:val="auto"/>
          <w:sz w:val="44"/>
          <w:szCs w:val="44"/>
          <w:highlight w:val="none"/>
          <w:lang w:val="en-US" w:eastAsia="zh-CN"/>
        </w:rPr>
        <w:t>补</w:t>
      </w:r>
      <w:r>
        <w:rPr>
          <w:rFonts w:hint="eastAsia" w:ascii="方正小标宋简体" w:hAnsi="方正小标宋简体" w:eastAsia="方正小标宋简体" w:cs="方正小标宋简体"/>
          <w:snapToGrid w:val="0"/>
          <w:color w:val="auto"/>
          <w:sz w:val="44"/>
          <w:szCs w:val="44"/>
          <w:highlight w:val="none"/>
        </w:rPr>
        <w:t>助金调整（停发）告知书</w:t>
      </w:r>
    </w:p>
    <w:bookmarkEnd w:id="0"/>
    <w:p w14:paraId="716AA57C">
      <w:pPr>
        <w:keepNext w:val="0"/>
        <w:keepLines w:val="0"/>
        <w:pageBreakBefore w:val="0"/>
        <w:widowControl w:val="0"/>
        <w:kinsoku/>
        <w:wordWrap/>
        <w:overflowPunct w:val="0"/>
        <w:topLinePunct w:val="0"/>
        <w:autoSpaceDE/>
        <w:autoSpaceDN/>
        <w:bidi w:val="0"/>
        <w:adjustRightInd w:val="0"/>
        <w:snapToGrid w:val="0"/>
        <w:spacing w:line="520" w:lineRule="exact"/>
        <w:jc w:val="center"/>
        <w:textAlignment w:val="auto"/>
        <w:outlineLvl w:val="0"/>
        <w:rPr>
          <w:rFonts w:hint="eastAsia" w:ascii="楷体" w:hAnsi="楷体" w:eastAsia="楷体" w:cs="楷体"/>
          <w:snapToGrid w:val="0"/>
          <w:color w:val="auto"/>
          <w:sz w:val="32"/>
          <w:szCs w:val="32"/>
          <w:highlight w:val="none"/>
        </w:rPr>
      </w:pPr>
      <w:r>
        <w:rPr>
          <w:rFonts w:hint="eastAsia" w:ascii="楷体" w:hAnsi="楷体" w:eastAsia="楷体" w:cs="楷体"/>
          <w:snapToGrid w:val="0"/>
          <w:color w:val="auto"/>
          <w:sz w:val="32"/>
          <w:szCs w:val="32"/>
          <w:highlight w:val="none"/>
        </w:rPr>
        <w:t>（参考样式）</w:t>
      </w:r>
    </w:p>
    <w:p w14:paraId="1ED30D91">
      <w:pPr>
        <w:keepNext w:val="0"/>
        <w:keepLines w:val="0"/>
        <w:pageBreakBefore w:val="0"/>
        <w:widowControl w:val="0"/>
        <w:kinsoku/>
        <w:wordWrap/>
        <w:overflowPunct w:val="0"/>
        <w:topLinePunct w:val="0"/>
        <w:autoSpaceDE/>
        <w:autoSpaceDN/>
        <w:bidi w:val="0"/>
        <w:adjustRightInd w:val="0"/>
        <w:snapToGrid w:val="0"/>
        <w:spacing w:line="520" w:lineRule="exact"/>
        <w:textAlignment w:val="auto"/>
        <w:rPr>
          <w:rFonts w:hint="eastAsia" w:ascii="仿宋" w:hAnsi="仿宋" w:eastAsia="仿宋" w:cs="仿宋"/>
          <w:snapToGrid w:val="0"/>
          <w:color w:val="auto"/>
          <w:sz w:val="32"/>
          <w:szCs w:val="32"/>
          <w:highlight w:val="none"/>
        </w:rPr>
      </w:pPr>
      <w:r>
        <w:rPr>
          <w:rFonts w:hint="eastAsia" w:ascii="仿宋" w:hAnsi="仿宋" w:eastAsia="仿宋" w:cs="仿宋"/>
          <w:snapToGrid w:val="0"/>
          <w:color w:val="auto"/>
          <w:sz w:val="32"/>
          <w:szCs w:val="32"/>
          <w:highlight w:val="none"/>
          <w:u w:val="single"/>
        </w:rPr>
        <w:t xml:space="preserve">        </w:t>
      </w:r>
      <w:r>
        <w:rPr>
          <w:rFonts w:hint="eastAsia" w:ascii="仿宋" w:hAnsi="仿宋" w:eastAsia="仿宋" w:cs="仿宋"/>
          <w:snapToGrid w:val="0"/>
          <w:color w:val="auto"/>
          <w:sz w:val="32"/>
          <w:szCs w:val="32"/>
          <w:highlight w:val="none"/>
        </w:rPr>
        <w:t>：</w:t>
      </w:r>
    </w:p>
    <w:p w14:paraId="1E219E27">
      <w:pPr>
        <w:keepNext w:val="0"/>
        <w:keepLines w:val="0"/>
        <w:pageBreakBefore w:val="0"/>
        <w:widowControl w:val="0"/>
        <w:kinsoku/>
        <w:wordWrap/>
        <w:overflowPunct w:val="0"/>
        <w:topLinePunct w:val="0"/>
        <w:autoSpaceDE/>
        <w:autoSpaceDN/>
        <w:bidi w:val="0"/>
        <w:adjustRightInd w:val="0"/>
        <w:snapToGrid w:val="0"/>
        <w:spacing w:line="520" w:lineRule="exact"/>
        <w:ind w:firstLine="640" w:firstLineChars="200"/>
        <w:textAlignment w:val="auto"/>
        <w:outlineLvl w:val="0"/>
        <w:rPr>
          <w:rFonts w:hint="eastAsia" w:ascii="仿宋_GB2312" w:hAnsi="仿宋_GB2312" w:eastAsia="仿宋_GB2312" w:cs="仿宋_GB2312"/>
          <w:b w:val="0"/>
          <w:bCs w:val="0"/>
          <w:snapToGrid w:val="0"/>
          <w:color w:val="auto"/>
          <w:kern w:val="2"/>
          <w:sz w:val="32"/>
          <w:szCs w:val="32"/>
          <w:highlight w:val="none"/>
          <w:lang w:val="en-US" w:eastAsia="zh-CN"/>
        </w:rPr>
      </w:pPr>
      <w:r>
        <w:rPr>
          <w:rFonts w:hint="eastAsia" w:ascii="仿宋_GB2312" w:hAnsi="仿宋_GB2312" w:eastAsia="仿宋_GB2312" w:cs="仿宋_GB2312"/>
          <w:b w:val="0"/>
          <w:bCs w:val="0"/>
          <w:snapToGrid w:val="0"/>
          <w:color w:val="auto"/>
          <w:kern w:val="2"/>
          <w:sz w:val="32"/>
          <w:szCs w:val="32"/>
          <w:highlight w:val="none"/>
          <w:lang w:val="en-US" w:eastAsia="zh-CN"/>
        </w:rPr>
        <w:t>经调查审核，根据有关规定，决定对你原领取的经济困难失能老年人等群体集中照护服务补助作如下调整：</w:t>
      </w:r>
    </w:p>
    <w:p w14:paraId="79CAF9A6">
      <w:pPr>
        <w:keepNext w:val="0"/>
        <w:keepLines w:val="0"/>
        <w:pageBreakBefore w:val="0"/>
        <w:widowControl w:val="0"/>
        <w:kinsoku/>
        <w:wordWrap/>
        <w:overflowPunct w:val="0"/>
        <w:topLinePunct w:val="0"/>
        <w:autoSpaceDE/>
        <w:autoSpaceDN/>
        <w:bidi w:val="0"/>
        <w:adjustRightInd w:val="0"/>
        <w:snapToGrid w:val="0"/>
        <w:spacing w:line="520" w:lineRule="exact"/>
        <w:ind w:firstLine="640" w:firstLineChars="200"/>
        <w:jc w:val="left"/>
        <w:textAlignment w:val="auto"/>
        <w:outlineLvl w:val="0"/>
        <w:rPr>
          <w:rFonts w:hint="eastAsia" w:ascii="仿宋_GB2312" w:hAnsi="仿宋_GB2312" w:eastAsia="仿宋_GB2312" w:cs="仿宋_GB2312"/>
          <w:b w:val="0"/>
          <w:bCs w:val="0"/>
          <w:snapToGrid w:val="0"/>
          <w:color w:val="auto"/>
          <w:kern w:val="2"/>
          <w:sz w:val="32"/>
          <w:szCs w:val="32"/>
          <w:highlight w:val="none"/>
          <w:lang w:val="en-US" w:eastAsia="zh-CN"/>
        </w:rPr>
      </w:pPr>
      <w:r>
        <w:rPr>
          <w:rFonts w:hint="eastAsia" w:ascii="仿宋_GB2312" w:hAnsi="仿宋_GB2312" w:eastAsia="仿宋_GB2312" w:cs="仿宋_GB2312"/>
          <w:b w:val="0"/>
          <w:bCs w:val="0"/>
          <w:snapToGrid w:val="0"/>
          <w:color w:val="auto"/>
          <w:kern w:val="2"/>
          <w:sz w:val="32"/>
          <w:szCs w:val="32"/>
          <w:highlight w:val="none"/>
          <w:lang w:val="en-US" w:eastAsia="zh-CN"/>
        </w:rPr>
        <w:t>□增  □减 ：</w:t>
      </w:r>
    </w:p>
    <w:p w14:paraId="7F92357B">
      <w:pPr>
        <w:keepNext w:val="0"/>
        <w:keepLines w:val="0"/>
        <w:pageBreakBefore w:val="0"/>
        <w:widowControl w:val="0"/>
        <w:kinsoku/>
        <w:wordWrap/>
        <w:overflowPunct w:val="0"/>
        <w:topLinePunct w:val="0"/>
        <w:autoSpaceDE/>
        <w:autoSpaceDN/>
        <w:bidi w:val="0"/>
        <w:adjustRightInd w:val="0"/>
        <w:snapToGrid w:val="0"/>
        <w:spacing w:line="520" w:lineRule="exact"/>
        <w:ind w:firstLine="640" w:firstLineChars="200"/>
        <w:jc w:val="left"/>
        <w:textAlignment w:val="auto"/>
        <w:outlineLvl w:val="0"/>
        <w:rPr>
          <w:rFonts w:hint="eastAsia" w:ascii="仿宋_GB2312" w:hAnsi="仿宋_GB2312" w:eastAsia="仿宋_GB2312" w:cs="仿宋_GB2312"/>
          <w:bCs/>
          <w:color w:val="auto"/>
          <w:sz w:val="32"/>
          <w:szCs w:val="32"/>
          <w:highlight w:val="none"/>
          <w:lang w:eastAsia="zh-CN"/>
        </w:rPr>
      </w:pPr>
      <w:r>
        <w:rPr>
          <w:rFonts w:hint="eastAsia" w:ascii="仿宋_GB2312" w:hAnsi="仿宋_GB2312" w:eastAsia="仿宋_GB2312" w:cs="仿宋_GB2312"/>
          <w:b w:val="0"/>
          <w:bCs w:val="0"/>
          <w:snapToGrid w:val="0"/>
          <w:color w:val="auto"/>
          <w:kern w:val="2"/>
          <w:sz w:val="32"/>
          <w:szCs w:val="32"/>
          <w:highlight w:val="none"/>
          <w:lang w:val="en-US" w:eastAsia="zh-CN"/>
        </w:rPr>
        <w:t>集中照护服务补助金由原</w:t>
      </w:r>
      <w:r>
        <w:rPr>
          <w:rFonts w:hint="eastAsia" w:ascii="仿宋_GB2312" w:hAnsi="仿宋_GB2312" w:eastAsia="仿宋_GB2312" w:cs="仿宋_GB2312"/>
          <w:bCs/>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元/月调整为</w:t>
      </w:r>
      <w:r>
        <w:rPr>
          <w:rFonts w:hint="eastAsia" w:ascii="仿宋_GB2312" w:hAnsi="仿宋_GB2312" w:eastAsia="仿宋_GB2312" w:cs="仿宋_GB2312"/>
          <w:bCs/>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元/月</w:t>
      </w:r>
      <w:r>
        <w:rPr>
          <w:rFonts w:hint="eastAsia" w:ascii="仿宋_GB2312" w:hAnsi="仿宋_GB2312" w:eastAsia="仿宋_GB2312" w:cs="仿宋_GB2312"/>
          <w:color w:val="auto"/>
          <w:sz w:val="32"/>
          <w:szCs w:val="32"/>
          <w:highlight w:val="none"/>
          <w:lang w:eastAsia="zh-CN"/>
        </w:rPr>
        <w:t>。</w:t>
      </w:r>
    </w:p>
    <w:p w14:paraId="446F1F39">
      <w:pPr>
        <w:keepNext w:val="0"/>
        <w:keepLines w:val="0"/>
        <w:pageBreakBefore w:val="0"/>
        <w:widowControl w:val="0"/>
        <w:kinsoku/>
        <w:wordWrap/>
        <w:overflowPunct w:val="0"/>
        <w:topLinePunct w:val="0"/>
        <w:autoSpaceDE/>
        <w:autoSpaceDN/>
        <w:bidi w:val="0"/>
        <w:adjustRightInd w:val="0"/>
        <w:snapToGrid w:val="0"/>
        <w:spacing w:line="520" w:lineRule="exact"/>
        <w:ind w:firstLine="640" w:firstLineChars="200"/>
        <w:jc w:val="left"/>
        <w:textAlignment w:val="auto"/>
        <w:outlineLvl w:val="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调整原因：</w:t>
      </w:r>
    </w:p>
    <w:p w14:paraId="293ADA7E">
      <w:pPr>
        <w:keepNext w:val="0"/>
        <w:keepLines w:val="0"/>
        <w:pageBreakBefore w:val="0"/>
        <w:widowControl w:val="0"/>
        <w:kinsoku/>
        <w:wordWrap/>
        <w:topLinePunct w:val="0"/>
        <w:autoSpaceDE/>
        <w:autoSpaceDN/>
        <w:bidi w:val="0"/>
        <w:spacing w:line="520" w:lineRule="exact"/>
        <w:textAlignment w:val="auto"/>
        <w:rPr>
          <w:rFonts w:hint="eastAsia" w:ascii="仿宋_GB2312" w:hAnsi="仿宋_GB2312" w:eastAsia="仿宋_GB2312" w:cs="仿宋_GB2312"/>
          <w:color w:val="auto"/>
          <w:sz w:val="32"/>
          <w:szCs w:val="32"/>
          <w:highlight w:val="none"/>
        </w:rPr>
      </w:pPr>
    </w:p>
    <w:p w14:paraId="52BAA4D9">
      <w:pPr>
        <w:keepNext w:val="0"/>
        <w:keepLines w:val="0"/>
        <w:pageBreakBefore w:val="0"/>
        <w:widowControl w:val="0"/>
        <w:kinsoku/>
        <w:wordWrap/>
        <w:overflowPunct w:val="0"/>
        <w:topLinePunct w:val="0"/>
        <w:autoSpaceDE/>
        <w:autoSpaceDN/>
        <w:bidi w:val="0"/>
        <w:adjustRightInd w:val="0"/>
        <w:snapToGrid w:val="0"/>
        <w:spacing w:line="520" w:lineRule="exact"/>
        <w:ind w:firstLine="640" w:firstLineChars="200"/>
        <w:jc w:val="left"/>
        <w:textAlignment w:val="auto"/>
        <w:outlineLvl w:val="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Cs/>
          <w:color w:val="auto"/>
          <w:sz w:val="32"/>
          <w:szCs w:val="32"/>
          <w:highlight w:val="none"/>
        </w:rPr>
        <w:t>□</w:t>
      </w:r>
      <w:r>
        <w:rPr>
          <w:rFonts w:hint="eastAsia" w:ascii="仿宋_GB2312" w:hAnsi="仿宋_GB2312" w:eastAsia="仿宋_GB2312" w:cs="仿宋_GB2312"/>
          <w:color w:val="auto"/>
          <w:sz w:val="32"/>
          <w:szCs w:val="32"/>
          <w:highlight w:val="none"/>
        </w:rPr>
        <w:t>停发：</w:t>
      </w:r>
    </w:p>
    <w:p w14:paraId="57E83886">
      <w:pPr>
        <w:keepNext w:val="0"/>
        <w:keepLines w:val="0"/>
        <w:pageBreakBefore w:val="0"/>
        <w:widowControl w:val="0"/>
        <w:kinsoku/>
        <w:wordWrap/>
        <w:overflowPunct w:val="0"/>
        <w:topLinePunct w:val="0"/>
        <w:autoSpaceDE/>
        <w:autoSpaceDN/>
        <w:bidi w:val="0"/>
        <w:adjustRightInd w:val="0"/>
        <w:snapToGrid w:val="0"/>
        <w:spacing w:line="520" w:lineRule="exact"/>
        <w:ind w:firstLine="640" w:firstLineChars="200"/>
        <w:jc w:val="left"/>
        <w:textAlignment w:val="auto"/>
        <w:outlineLvl w:val="0"/>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color w:val="auto"/>
          <w:sz w:val="32"/>
          <w:szCs w:val="32"/>
          <w:highlight w:val="none"/>
          <w:u w:val="none"/>
          <w:lang w:val="en-US" w:eastAsia="zh-CN"/>
        </w:rPr>
        <w:t>自</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月起，对你领取的集中照护服务</w:t>
      </w:r>
      <w:r>
        <w:rPr>
          <w:rFonts w:hint="eastAsia" w:ascii="仿宋_GB2312" w:hAnsi="仿宋_GB2312" w:eastAsia="仿宋_GB2312" w:cs="仿宋_GB2312"/>
          <w:color w:val="auto"/>
          <w:sz w:val="32"/>
          <w:szCs w:val="32"/>
          <w:highlight w:val="none"/>
          <w:lang w:val="en-US" w:eastAsia="zh-CN"/>
        </w:rPr>
        <w:t>补</w:t>
      </w:r>
      <w:r>
        <w:rPr>
          <w:rFonts w:hint="eastAsia" w:ascii="仿宋_GB2312" w:hAnsi="仿宋_GB2312" w:eastAsia="仿宋_GB2312" w:cs="仿宋_GB2312"/>
          <w:color w:val="auto"/>
          <w:sz w:val="32"/>
          <w:szCs w:val="32"/>
          <w:highlight w:val="none"/>
        </w:rPr>
        <w:t>助金予以停发。</w:t>
      </w:r>
    </w:p>
    <w:p w14:paraId="0657026E">
      <w:pPr>
        <w:keepNext w:val="0"/>
        <w:keepLines w:val="0"/>
        <w:pageBreakBefore w:val="0"/>
        <w:widowControl w:val="0"/>
        <w:kinsoku/>
        <w:wordWrap/>
        <w:overflowPunct w:val="0"/>
        <w:topLinePunct w:val="0"/>
        <w:autoSpaceDE/>
        <w:autoSpaceDN/>
        <w:bidi w:val="0"/>
        <w:adjustRightInd w:val="0"/>
        <w:snapToGrid w:val="0"/>
        <w:spacing w:line="520" w:lineRule="exact"/>
        <w:ind w:firstLine="640" w:firstLineChars="200"/>
        <w:textAlignment w:val="auto"/>
        <w:outlineLvl w:val="0"/>
        <w:rPr>
          <w:rFonts w:hint="eastAsia" w:ascii="仿宋_GB2312" w:hAnsi="仿宋_GB2312" w:eastAsia="仿宋_GB2312" w:cs="仿宋_GB2312"/>
          <w:b w:val="0"/>
          <w:bCs w:val="0"/>
          <w:snapToGrid w:val="0"/>
          <w:color w:val="auto"/>
          <w:kern w:val="2"/>
          <w:sz w:val="32"/>
          <w:szCs w:val="32"/>
          <w:highlight w:val="none"/>
          <w:lang w:val="en-US" w:eastAsia="zh-CN"/>
        </w:rPr>
      </w:pPr>
      <w:r>
        <w:rPr>
          <w:rFonts w:hint="eastAsia" w:ascii="仿宋_GB2312" w:hAnsi="仿宋_GB2312" w:eastAsia="仿宋_GB2312" w:cs="仿宋_GB2312"/>
          <w:b w:val="0"/>
          <w:bCs w:val="0"/>
          <w:snapToGrid w:val="0"/>
          <w:color w:val="auto"/>
          <w:kern w:val="2"/>
          <w:sz w:val="32"/>
          <w:szCs w:val="32"/>
          <w:highlight w:val="none"/>
          <w:lang w:val="en-US" w:eastAsia="zh-CN"/>
        </w:rPr>
        <w:t>停发原因：</w:t>
      </w:r>
    </w:p>
    <w:p w14:paraId="5B646F36">
      <w:pPr>
        <w:keepNext w:val="0"/>
        <w:keepLines w:val="0"/>
        <w:pageBreakBefore w:val="0"/>
        <w:widowControl w:val="0"/>
        <w:kinsoku/>
        <w:wordWrap/>
        <w:overflowPunct w:val="0"/>
        <w:topLinePunct w:val="0"/>
        <w:autoSpaceDE/>
        <w:autoSpaceDN/>
        <w:bidi w:val="0"/>
        <w:adjustRightInd w:val="0"/>
        <w:snapToGrid w:val="0"/>
        <w:spacing w:line="520" w:lineRule="exact"/>
        <w:ind w:firstLine="640" w:firstLineChars="200"/>
        <w:textAlignment w:val="auto"/>
        <w:outlineLvl w:val="0"/>
        <w:rPr>
          <w:rFonts w:hint="eastAsia" w:ascii="仿宋_GB2312" w:hAnsi="仿宋_GB2312" w:eastAsia="仿宋_GB2312" w:cs="仿宋_GB2312"/>
          <w:b w:val="0"/>
          <w:bCs w:val="0"/>
          <w:snapToGrid w:val="0"/>
          <w:color w:val="auto"/>
          <w:kern w:val="2"/>
          <w:sz w:val="32"/>
          <w:szCs w:val="32"/>
          <w:highlight w:val="none"/>
          <w:lang w:val="en-US" w:eastAsia="zh-CN"/>
        </w:rPr>
      </w:pPr>
    </w:p>
    <w:p w14:paraId="2134C2B8">
      <w:pPr>
        <w:keepNext w:val="0"/>
        <w:keepLines w:val="0"/>
        <w:pageBreakBefore w:val="0"/>
        <w:widowControl w:val="0"/>
        <w:kinsoku/>
        <w:wordWrap/>
        <w:overflowPunct w:val="0"/>
        <w:topLinePunct w:val="0"/>
        <w:autoSpaceDE/>
        <w:autoSpaceDN/>
        <w:bidi w:val="0"/>
        <w:adjustRightInd w:val="0"/>
        <w:snapToGrid w:val="0"/>
        <w:spacing w:line="520" w:lineRule="exact"/>
        <w:ind w:firstLine="640" w:firstLineChars="200"/>
        <w:textAlignment w:val="auto"/>
        <w:outlineLvl w:val="0"/>
        <w:rPr>
          <w:rFonts w:hint="eastAsia" w:ascii="仿宋_GB2312" w:hAnsi="仿宋_GB2312" w:eastAsia="仿宋_GB2312" w:cs="仿宋_GB2312"/>
          <w:b w:val="0"/>
          <w:bCs w:val="0"/>
          <w:snapToGrid w:val="0"/>
          <w:color w:val="auto"/>
          <w:kern w:val="2"/>
          <w:sz w:val="32"/>
          <w:szCs w:val="32"/>
          <w:highlight w:val="none"/>
          <w:lang w:val="en-US" w:eastAsia="zh-CN"/>
        </w:rPr>
      </w:pPr>
      <w:r>
        <w:rPr>
          <w:rFonts w:hint="eastAsia" w:ascii="仿宋_GB2312" w:hAnsi="仿宋_GB2312" w:eastAsia="仿宋_GB2312" w:cs="仿宋_GB2312"/>
          <w:b w:val="0"/>
          <w:bCs w:val="0"/>
          <w:snapToGrid w:val="0"/>
          <w:color w:val="auto"/>
          <w:kern w:val="2"/>
          <w:sz w:val="32"/>
          <w:szCs w:val="32"/>
          <w:highlight w:val="none"/>
          <w:lang w:val="en-US" w:eastAsia="zh-CN"/>
        </w:rPr>
        <w:t>如对本告知有异议，可以在收到本告知书之日起六十日内向×××人民政府申请行政复议；或自收到本告知书之日起六个月内，向×××人民法院提起行政诉讼。</w:t>
      </w:r>
    </w:p>
    <w:p w14:paraId="0839CAA8">
      <w:pPr>
        <w:keepNext w:val="0"/>
        <w:keepLines w:val="0"/>
        <w:pageBreakBefore w:val="0"/>
        <w:widowControl w:val="0"/>
        <w:kinsoku/>
        <w:wordWrap/>
        <w:overflowPunct w:val="0"/>
        <w:topLinePunct w:val="0"/>
        <w:autoSpaceDE/>
        <w:autoSpaceDN/>
        <w:bidi w:val="0"/>
        <w:adjustRightInd w:val="0"/>
        <w:snapToGrid w:val="0"/>
        <w:spacing w:line="520" w:lineRule="exact"/>
        <w:ind w:firstLine="640" w:firstLineChars="200"/>
        <w:textAlignment w:val="auto"/>
        <w:outlineLvl w:val="0"/>
        <w:rPr>
          <w:rFonts w:hint="eastAsia" w:ascii="仿宋_GB2312" w:hAnsi="仿宋_GB2312" w:eastAsia="仿宋_GB2312" w:cs="仿宋_GB2312"/>
          <w:b w:val="0"/>
          <w:bCs w:val="0"/>
          <w:snapToGrid w:val="0"/>
          <w:color w:val="auto"/>
          <w:kern w:val="2"/>
          <w:sz w:val="32"/>
          <w:szCs w:val="32"/>
          <w:highlight w:val="none"/>
          <w:lang w:val="en-US" w:eastAsia="zh-CN"/>
        </w:rPr>
      </w:pPr>
    </w:p>
    <w:p w14:paraId="7F68E360">
      <w:pPr>
        <w:keepNext w:val="0"/>
        <w:keepLines w:val="0"/>
        <w:pageBreakBefore w:val="0"/>
        <w:widowControl w:val="0"/>
        <w:kinsoku/>
        <w:wordWrap/>
        <w:overflowPunct w:val="0"/>
        <w:topLinePunct w:val="0"/>
        <w:autoSpaceDE/>
        <w:autoSpaceDN/>
        <w:bidi w:val="0"/>
        <w:adjustRightInd w:val="0"/>
        <w:snapToGrid w:val="0"/>
        <w:spacing w:line="520" w:lineRule="exact"/>
        <w:ind w:firstLine="640" w:firstLineChars="200"/>
        <w:textAlignment w:val="auto"/>
        <w:outlineLvl w:val="0"/>
        <w:rPr>
          <w:rFonts w:hint="eastAsia" w:ascii="仿宋_GB2312" w:hAnsi="仿宋_GB2312" w:eastAsia="仿宋_GB2312" w:cs="仿宋_GB2312"/>
          <w:b w:val="0"/>
          <w:bCs w:val="0"/>
          <w:snapToGrid w:val="0"/>
          <w:color w:val="auto"/>
          <w:kern w:val="2"/>
          <w:sz w:val="32"/>
          <w:szCs w:val="32"/>
          <w:highlight w:val="none"/>
          <w:lang w:val="en-US" w:eastAsia="zh-CN"/>
        </w:rPr>
      </w:pPr>
      <w:r>
        <w:rPr>
          <w:rFonts w:hint="eastAsia" w:ascii="仿宋_GB2312" w:hAnsi="仿宋_GB2312" w:eastAsia="仿宋_GB2312" w:cs="仿宋_GB2312"/>
          <w:b w:val="0"/>
          <w:bCs w:val="0"/>
          <w:snapToGrid w:val="0"/>
          <w:color w:val="auto"/>
          <w:kern w:val="2"/>
          <w:sz w:val="32"/>
          <w:szCs w:val="32"/>
          <w:highlight w:val="none"/>
          <w:lang w:val="en-US" w:eastAsia="zh-CN"/>
        </w:rPr>
        <w:t xml:space="preserve">送达人：       </w:t>
      </w:r>
    </w:p>
    <w:p w14:paraId="145DCBE7">
      <w:pPr>
        <w:keepNext w:val="0"/>
        <w:keepLines w:val="0"/>
        <w:pageBreakBefore w:val="0"/>
        <w:widowControl w:val="0"/>
        <w:kinsoku/>
        <w:wordWrap/>
        <w:overflowPunct w:val="0"/>
        <w:topLinePunct w:val="0"/>
        <w:autoSpaceDE/>
        <w:autoSpaceDN/>
        <w:bidi w:val="0"/>
        <w:adjustRightInd w:val="0"/>
        <w:snapToGrid w:val="0"/>
        <w:spacing w:line="520" w:lineRule="exact"/>
        <w:ind w:right="640" w:rightChars="200" w:firstLine="640" w:firstLineChars="200"/>
        <w:jc w:val="right"/>
        <w:textAlignment w:val="auto"/>
        <w:outlineLvl w:val="0"/>
        <w:rPr>
          <w:rFonts w:hint="eastAsia" w:ascii="仿宋_GB2312" w:hAnsi="仿宋_GB2312" w:eastAsia="仿宋_GB2312" w:cs="仿宋_GB2312"/>
          <w:snapToGrid w:val="0"/>
          <w:color w:val="auto"/>
          <w:sz w:val="32"/>
          <w:szCs w:val="32"/>
          <w:highlight w:val="none"/>
        </w:rPr>
      </w:pPr>
      <w:r>
        <w:rPr>
          <w:rFonts w:hint="eastAsia" w:ascii="仿宋_GB2312" w:hAnsi="仿宋_GB2312" w:eastAsia="仿宋_GB2312" w:cs="仿宋_GB2312"/>
          <w:snapToGrid w:val="0"/>
          <w:color w:val="auto"/>
          <w:sz w:val="32"/>
          <w:szCs w:val="32"/>
          <w:highlight w:val="none"/>
          <w:u w:val="single"/>
        </w:rPr>
        <w:t xml:space="preserve">       </w:t>
      </w:r>
      <w:r>
        <w:rPr>
          <w:rFonts w:hint="eastAsia" w:ascii="仿宋_GB2312" w:hAnsi="仿宋_GB2312" w:eastAsia="仿宋_GB2312" w:cs="仿宋_GB2312"/>
          <w:snapToGrid w:val="0"/>
          <w:color w:val="auto"/>
          <w:sz w:val="32"/>
          <w:szCs w:val="32"/>
          <w:highlight w:val="none"/>
        </w:rPr>
        <w:t>民政局（盖章）</w:t>
      </w:r>
    </w:p>
    <w:p w14:paraId="60324770">
      <w:pPr>
        <w:keepNext w:val="0"/>
        <w:keepLines w:val="0"/>
        <w:pageBreakBefore w:val="0"/>
        <w:widowControl w:val="0"/>
        <w:kinsoku/>
        <w:wordWrap/>
        <w:overflowPunct w:val="0"/>
        <w:topLinePunct w:val="0"/>
        <w:autoSpaceDE/>
        <w:autoSpaceDN/>
        <w:bidi w:val="0"/>
        <w:adjustRightInd w:val="0"/>
        <w:snapToGrid w:val="0"/>
        <w:spacing w:line="520" w:lineRule="exact"/>
        <w:ind w:left="0" w:leftChars="0" w:right="1920" w:rightChars="600" w:firstLine="640" w:firstLineChars="200"/>
        <w:jc w:val="right"/>
        <w:textAlignment w:val="auto"/>
        <w:outlineLvl w:val="0"/>
        <w:rPr>
          <w:rFonts w:hint="eastAsia" w:ascii="仿宋_GB2312" w:hAnsi="仿宋_GB2312" w:eastAsia="仿宋_GB2312" w:cs="仿宋_GB2312"/>
          <w:snapToGrid w:val="0"/>
          <w:color w:val="auto"/>
          <w:kern w:val="0"/>
          <w:sz w:val="32"/>
          <w:szCs w:val="32"/>
          <w:highlight w:val="none"/>
        </w:rPr>
      </w:pPr>
      <w:r>
        <w:rPr>
          <w:rFonts w:hint="eastAsia" w:ascii="仿宋_GB2312" w:hAnsi="仿宋_GB2312" w:eastAsia="仿宋_GB2312" w:cs="仿宋_GB2312"/>
          <w:snapToGrid w:val="0"/>
          <w:color w:val="auto"/>
          <w:sz w:val="32"/>
          <w:szCs w:val="32"/>
          <w:highlight w:val="none"/>
        </w:rPr>
        <w:t>年   月   日</w:t>
      </w:r>
    </w:p>
    <w:p w14:paraId="25AD0CCA">
      <w:pPr>
        <w:keepNext w:val="0"/>
        <w:keepLines w:val="0"/>
        <w:pageBreakBefore w:val="0"/>
        <w:widowControl w:val="0"/>
        <w:kinsoku/>
        <w:wordWrap/>
        <w:overflowPunct w:val="0"/>
        <w:topLinePunct w:val="0"/>
        <w:autoSpaceDE/>
        <w:autoSpaceDN/>
        <w:bidi w:val="0"/>
        <w:adjustRightInd w:val="0"/>
        <w:snapToGrid w:val="0"/>
        <w:spacing w:line="520" w:lineRule="exact"/>
        <w:ind w:left="64" w:leftChars="20" w:right="64" w:rightChars="20"/>
        <w:textAlignment w:val="auto"/>
        <w:rPr>
          <w:rFonts w:hint="eastAsia" w:ascii="仿宋" w:hAnsi="仿宋" w:eastAsia="仿宋" w:cs="仿宋"/>
          <w:b/>
          <w:bCs/>
          <w:color w:val="auto"/>
          <w:sz w:val="32"/>
          <w:szCs w:val="32"/>
          <w:highlight w:val="none"/>
        </w:rPr>
        <w:sectPr>
          <w:footerReference r:id="rId5" w:type="default"/>
          <w:pgSz w:w="11906" w:h="16838"/>
          <w:pgMar w:top="1440" w:right="1080" w:bottom="1440" w:left="1080" w:header="851" w:footer="1474" w:gutter="0"/>
          <w:pgNumType w:fmt="decimal" w:start="10"/>
          <w:cols w:space="720" w:num="1"/>
          <w:docGrid w:linePitch="312" w:charSpace="0"/>
        </w:sectPr>
      </w:pPr>
      <w:r>
        <w:rPr>
          <w:rFonts w:hint="eastAsia" w:ascii="仿宋_GB2312" w:hAnsi="仿宋_GB2312" w:eastAsia="仿宋_GB2312" w:cs="仿宋_GB2312"/>
          <w:snapToGrid w:val="0"/>
          <w:color w:val="auto"/>
          <w:kern w:val="0"/>
          <w:sz w:val="24"/>
          <w:szCs w:val="32"/>
          <w:highlight w:val="none"/>
        </w:rPr>
        <w:t>（告知书一式叁份，分别由老年人或其代理人、养老机构、</w:t>
      </w:r>
      <w:r>
        <w:rPr>
          <w:rFonts w:hint="eastAsia" w:ascii="仿宋_GB2312" w:hAnsi="仿宋_GB2312" w:eastAsia="仿宋_GB2312" w:cs="仿宋_GB2312"/>
          <w:snapToGrid w:val="0"/>
          <w:color w:val="auto"/>
          <w:kern w:val="0"/>
          <w:sz w:val="24"/>
          <w:szCs w:val="32"/>
          <w:highlight w:val="none"/>
          <w:lang w:val="en-US" w:eastAsia="zh-CN"/>
        </w:rPr>
        <w:t>区民政部门</w:t>
      </w:r>
      <w:r>
        <w:rPr>
          <w:rFonts w:hint="eastAsia" w:ascii="仿宋_GB2312" w:hAnsi="仿宋_GB2312" w:eastAsia="仿宋_GB2312" w:cs="仿宋_GB2312"/>
          <w:snapToGrid w:val="0"/>
          <w:color w:val="auto"/>
          <w:kern w:val="0"/>
          <w:sz w:val="24"/>
          <w:szCs w:val="32"/>
          <w:highlight w:val="none"/>
        </w:rPr>
        <w:t>各存一份）</w:t>
      </w:r>
    </w:p>
    <w:p w14:paraId="58883463">
      <w:pPr>
        <w:ind w:left="0" w:leftChars="0" w:firstLine="0" w:firstLineChars="0"/>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方正小标宋_GBK">
    <w:panose1 w:val="02000000000000000000"/>
    <w:charset w:val="86"/>
    <w:family w:val="auto"/>
    <w:pitch w:val="default"/>
    <w:sig w:usb0="A00002BF" w:usb1="38CF7CFA" w:usb2="00082016" w:usb3="00000000" w:csb0="00040001"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4AAA08">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矩形 28"/>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3FA33DC6">
                          <w:pPr>
                            <w:pStyle w:val="3"/>
                            <w:ind w:firstLine="0" w:firstLineChars="0"/>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wrap="none" lIns="0" tIns="0" rIns="0" bIns="0" upright="1">
                      <a:spAutoFit/>
                    </wps:bodyPr>
                  </wps:wsp>
                </a:graphicData>
              </a:graphic>
            </wp:anchor>
          </w:drawing>
        </mc:Choice>
        <mc:Fallback>
          <w:pict>
            <v:rect id="矩形 28" o:spid="_x0000_s1026" o:spt="1"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C5dblS0AAAAAUBAAAPAAAAAAAAAAEAIAAAACIAAABkcnMvZG93bnJldi54bWxQSwECFAAU&#10;AAAACACHTuJAmnoCCcABAACNAwAADgAAAAAAAAABACAAAAAfAQAAZHJzL2Uyb0RvYy54bWxQSwUG&#10;AAAAAAYABgBZAQAAUQUAAAAA&#10;">
              <v:fill on="f" focussize="0,0"/>
              <v:stroke on="f"/>
              <v:imagedata o:title=""/>
              <o:lock v:ext="edit" aspectratio="f"/>
              <v:textbox inset="0mm,0mm,0mm,0mm" style="mso-fit-shape-to-text:t;">
                <w:txbxContent>
                  <w:p w14:paraId="3FA33DC6">
                    <w:pPr>
                      <w:pStyle w:val="3"/>
                      <w:ind w:firstLine="0" w:firstLineChars="0"/>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587BD4"/>
    <w:rsid w:val="78587B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560" w:lineRule="exact"/>
      <w:ind w:firstLine="200" w:firstLineChars="200"/>
      <w:jc w:val="both"/>
    </w:pPr>
    <w:rPr>
      <w:rFonts w:ascii="Times New Roman" w:hAnsi="Times New Roman" w:eastAsia="仿宋" w:cs="Times New Roman"/>
      <w:color w:val="000000"/>
      <w:kern w:val="2"/>
      <w:sz w:val="32"/>
      <w:szCs w:val="32"/>
      <w:lang w:val="en-US" w:eastAsia="zh-CN" w:bidi="ar-SA"/>
    </w:rPr>
  </w:style>
  <w:style w:type="paragraph" w:styleId="2">
    <w:name w:val="heading 1"/>
    <w:basedOn w:val="1"/>
    <w:next w:val="1"/>
    <w:qFormat/>
    <w:uiPriority w:val="9"/>
    <w:pPr>
      <w:keepNext/>
      <w:keepLines/>
      <w:outlineLvl w:val="0"/>
    </w:pPr>
    <w:rPr>
      <w:rFonts w:eastAsia="黑体"/>
      <w:bCs/>
      <w:kern w:val="44"/>
      <w:szCs w:val="44"/>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unhideWhenUsed/>
    <w:qFormat/>
    <w:uiPriority w:val="0"/>
    <w:pPr>
      <w:tabs>
        <w:tab w:val="center" w:pos="4153"/>
        <w:tab w:val="right" w:pos="8306"/>
      </w:tabs>
      <w:snapToGrid w:val="0"/>
      <w:spacing w:line="240" w:lineRule="atLeast"/>
      <w:jc w:val="left"/>
    </w:pPr>
    <w:rPr>
      <w:sz w:val="18"/>
      <w:szCs w:val="18"/>
    </w:rPr>
  </w:style>
  <w:style w:type="paragraph" w:styleId="4">
    <w:name w:val="Title"/>
    <w:basedOn w:val="1"/>
    <w:next w:val="1"/>
    <w:qFormat/>
    <w:uiPriority w:val="99"/>
    <w:pPr>
      <w:ind w:firstLine="0" w:firstLineChars="0"/>
      <w:jc w:val="center"/>
      <w:outlineLvl w:val="0"/>
    </w:pPr>
    <w:rPr>
      <w:rFonts w:ascii="方正小标宋简体" w:hAnsi="等线 Light" w:eastAsia="方正小标宋简体"/>
      <w:bCs/>
      <w:sz w:val="4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2025-05-26T07:06:00Z</dcterms:created>
  <dc:creator>sai</dc:creator>
  <cp:lastModifiedBy>sai</cp:lastModifiedBy>
  <dcterms:modified xsi:type="dcterms:W3CDTF">2025-05-26T07:06:40Z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799FE351A0C64DC8B7582D5BCF32948C_11</vt:lpwstr>
  </property>
  <property fmtid="{D5CDD505-2E9C-101B-9397-08002B2CF9AE}" pid="4" name="KSOTemplateDocerSaveRecord">
    <vt:lpwstr>eyJoZGlkIjoiNDNiYTBmOTgyNjFiYmNkYjM5ZDQxMGE1MWU3YjlhM2UiLCJ1c2VySWQiOiI3OTExMDQzNDEifQ==</vt:lpwstr>
  </property>
</Properties>
</file>