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240" w:line="420" w:lineRule="atLeast"/>
        <w:ind w:firstLine="0" w:firstLineChars="0"/>
        <w:rPr>
          <w:rFonts w:ascii="黑体" w:hAnsi="黑体" w:eastAsia="黑体"/>
          <w:shd w:val="clear" w:color="auto" w:fill="FFFFFF"/>
        </w:rPr>
      </w:pPr>
      <w:r>
        <w:rPr>
          <w:rFonts w:hint="eastAsia" w:ascii="黑体" w:hAnsi="黑体" w:eastAsia="黑体"/>
          <w:shd w:val="clear" w:color="auto" w:fill="FFFFFF"/>
        </w:rPr>
        <w:t>附件1</w:t>
      </w:r>
    </w:p>
    <w:p>
      <w:pPr>
        <w:pStyle w:val="3"/>
      </w:pPr>
      <w:r>
        <w:rPr>
          <w:rFonts w:hint="eastAsia"/>
        </w:rPr>
        <w:t>特殊困难老年人</w:t>
      </w:r>
    </w:p>
    <w:p>
      <w:pPr>
        <w:pStyle w:val="3"/>
      </w:pPr>
      <w:r>
        <w:rPr>
          <w:rFonts w:hint="eastAsia"/>
        </w:rPr>
        <w:t>探访关爱服务对象参考定义清单</w:t>
      </w:r>
    </w:p>
    <w:p>
      <w:pPr>
        <w:ind w:firstLine="632"/>
      </w:pPr>
    </w:p>
    <w:p>
      <w:pPr>
        <w:pStyle w:val="2"/>
        <w:spacing w:after="0"/>
        <w:ind w:firstLine="632"/>
        <w:rPr>
          <w:color w:val="auto"/>
        </w:rPr>
      </w:pPr>
      <w:r>
        <w:rPr>
          <w:rFonts w:hint="eastAsia"/>
          <w:color w:val="auto"/>
        </w:rPr>
        <w:t>为做好特殊困难老年人探访关爱服务工作，对服务对象做如下参考定义：</w:t>
      </w:r>
    </w:p>
    <w:p>
      <w:pPr>
        <w:pStyle w:val="2"/>
        <w:spacing w:after="0"/>
        <w:ind w:firstLine="632"/>
        <w:rPr>
          <w:shd w:val="clear" w:color="auto" w:fill="FFFFFF"/>
        </w:rPr>
      </w:pPr>
      <w:r>
        <w:rPr>
          <w:rFonts w:hint="eastAsia"/>
          <w:shd w:val="clear" w:color="auto" w:fill="FFFFFF"/>
        </w:rPr>
        <w:t>1.孤寡老年人。无配偶、无子女、无人照顾且丧失劳动能力的老年人。</w:t>
      </w:r>
    </w:p>
    <w:p>
      <w:pPr>
        <w:pStyle w:val="2"/>
        <w:spacing w:after="0"/>
        <w:ind w:firstLine="632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2.独居老年人。无配偶、无子女的老年人，或不与子女（赡〈扶〉养人）共同居住且子女（赡〈扶〉养人）不在同一街道（乡镇）居住的无配偶老年人。</w:t>
      </w:r>
    </w:p>
    <w:p>
      <w:pPr>
        <w:pStyle w:val="2"/>
        <w:spacing w:after="0"/>
        <w:ind w:firstLine="632"/>
        <w:rPr>
          <w:shd w:val="clear" w:color="auto" w:fill="FFFFFF"/>
        </w:rPr>
      </w:pPr>
      <w:r>
        <w:rPr>
          <w:rFonts w:hint="eastAsia"/>
          <w:shd w:val="clear" w:color="auto" w:fill="FFFFFF"/>
        </w:rPr>
        <w:t>3.空巢老年人。子女长大成人后从父母家庭中相继分离出去，且与子女不在同一市属行政区居住，</w:t>
      </w:r>
      <w:r>
        <w:t>独自生活</w:t>
      </w:r>
      <w:r>
        <w:rPr>
          <w:rFonts w:hint="eastAsia"/>
        </w:rPr>
        <w:t>6个月以上</w:t>
      </w:r>
      <w:r>
        <w:rPr>
          <w:rFonts w:hint="eastAsia"/>
          <w:shd w:val="clear" w:color="auto" w:fill="FFFFFF"/>
        </w:rPr>
        <w:t>的老年人。（含单空巢和双空巢等情形）</w:t>
      </w:r>
    </w:p>
    <w:p>
      <w:pPr>
        <w:pStyle w:val="2"/>
        <w:spacing w:after="0"/>
        <w:ind w:firstLine="632"/>
        <w:rPr>
          <w:shd w:val="clear" w:color="auto" w:fill="FFFFFF"/>
        </w:rPr>
      </w:pPr>
      <w:r>
        <w:rPr>
          <w:rFonts w:hint="eastAsia"/>
          <w:shd w:val="clear" w:color="auto" w:fill="FFFFFF"/>
        </w:rPr>
        <w:t>4.留守老年人。全部子女或其他赡（扶）养人因外地学习、工作等原因离开我市范围</w:t>
      </w:r>
      <w:r>
        <w:rPr>
          <w:shd w:val="clear" w:color="auto" w:fill="FFFFFF"/>
        </w:rPr>
        <w:t>6</w:t>
      </w:r>
      <w:r>
        <w:rPr>
          <w:rFonts w:hint="eastAsia"/>
          <w:shd w:val="clear" w:color="auto" w:fill="FFFFFF"/>
        </w:rPr>
        <w:t>个月以上，独自生活的老年人。（含单留守和双留守、城市留守和农村留守等情形）</w:t>
      </w:r>
    </w:p>
    <w:p>
      <w:pPr>
        <w:ind w:firstLine="632"/>
        <w:rPr>
          <w:shd w:val="clear" w:color="auto" w:fill="FFFFFF"/>
        </w:rPr>
      </w:pPr>
      <w:r>
        <w:rPr>
          <w:rFonts w:hint="eastAsia"/>
          <w:shd w:val="clear" w:color="auto" w:fill="FFFFFF"/>
        </w:rPr>
        <w:t>5.失能老年人。丧失生活自理能力的老年人。对照《老年人能力评估规范》（</w:t>
      </w:r>
      <w:r>
        <w:rPr>
          <w:shd w:val="clear" w:color="auto" w:fill="FFFFFF"/>
        </w:rPr>
        <w:t>GB/T42195</w:t>
      </w:r>
      <w:r>
        <w:rPr>
          <w:rFonts w:hint="eastAsia"/>
          <w:shd w:val="clear" w:color="auto" w:fill="FFFFFF"/>
        </w:rPr>
        <w:t>－</w:t>
      </w:r>
      <w:r>
        <w:rPr>
          <w:shd w:val="clear" w:color="auto" w:fill="FFFFFF"/>
        </w:rPr>
        <w:t>2022</w:t>
      </w:r>
      <w:r>
        <w:rPr>
          <w:rFonts w:hint="eastAsia"/>
          <w:shd w:val="clear" w:color="auto" w:fill="FFFFFF"/>
        </w:rPr>
        <w:t>），失能老年人分为能力轻度受损（轻度失能）、能力中度受损（中度失能）、能力重度受损（重度失能）、能力完全丧失（完全失能）4个等级；对照《老年人能力评估》</w:t>
      </w:r>
      <w:r>
        <w:rPr>
          <w:shd w:val="clear" w:color="auto" w:fill="FFFFFF"/>
        </w:rPr>
        <w:t>（MZ/T039</w:t>
      </w:r>
      <w:r>
        <w:rPr>
          <w:rFonts w:hint="eastAsia"/>
          <w:shd w:val="clear" w:color="auto" w:fill="FFFFFF"/>
        </w:rPr>
        <w:t>－</w:t>
      </w:r>
      <w:r>
        <w:rPr>
          <w:shd w:val="clear" w:color="auto" w:fill="FFFFFF"/>
        </w:rPr>
        <w:t>2013）</w:t>
      </w:r>
      <w:r>
        <w:rPr>
          <w:rFonts w:hint="eastAsia"/>
          <w:shd w:val="clear" w:color="auto" w:fill="FFFFFF"/>
        </w:rPr>
        <w:t>，失能老年人分为轻度失能</w:t>
      </w:r>
      <w:r>
        <w:rPr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中度失能</w:t>
      </w:r>
      <w:r>
        <w:rPr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重度失能3</w:t>
      </w:r>
      <w:r>
        <w:rPr>
          <w:shd w:val="clear" w:color="auto" w:fill="FFFFFF"/>
        </w:rPr>
        <w:t>个等级。</w:t>
      </w:r>
    </w:p>
    <w:p>
      <w:pPr>
        <w:pStyle w:val="2"/>
        <w:spacing w:after="0"/>
        <w:ind w:firstLine="632"/>
        <w:rPr>
          <w:color w:val="ED7D31"/>
          <w:shd w:val="clear" w:color="auto" w:fill="FFFFFF"/>
        </w:rPr>
      </w:pPr>
      <w:r>
        <w:rPr>
          <w:rFonts w:hint="eastAsia"/>
          <w:shd w:val="clear" w:color="auto" w:fill="FFFFFF"/>
        </w:rPr>
        <w:t>6.重度残疾老年人。持有效《中华人民共和国残疾人证》，残疾程度为一级、二级的残疾老年人</w:t>
      </w:r>
      <w:r>
        <w:rPr>
          <w:rFonts w:hint="eastAsia"/>
          <w:color w:val="ED7D31"/>
          <w:shd w:val="clear" w:color="auto" w:fill="FFFFFF"/>
        </w:rPr>
        <w:t>。</w:t>
      </w:r>
    </w:p>
    <w:p>
      <w:pPr>
        <w:pStyle w:val="2"/>
        <w:spacing w:after="0"/>
        <w:ind w:firstLine="632"/>
        <w:rPr>
          <w:shd w:val="clear" w:color="auto" w:fill="FFFFFF"/>
        </w:rPr>
      </w:pPr>
      <w:r>
        <w:rPr>
          <w:rFonts w:hint="eastAsia"/>
          <w:shd w:val="clear" w:color="auto" w:fill="FFFFFF"/>
        </w:rPr>
        <w:t>7.计划生育特殊家庭老年人。独生子女发生伤残或死亡、未再生育或无收养子女的家庭的老年人。</w:t>
      </w:r>
    </w:p>
    <w:p>
      <w:pPr>
        <w:ind w:firstLine="0" w:firstLineChars="0"/>
        <w:rPr>
          <w:shd w:val="clear" w:color="auto" w:fill="FFFFFF"/>
        </w:rPr>
      </w:pPr>
    </w:p>
    <w:p>
      <w:pPr>
        <w:ind w:firstLine="0" w:firstLineChars="0"/>
        <w:rPr>
          <w:shd w:val="clear" w:color="auto" w:fill="FFFFFF"/>
        </w:rPr>
      </w:pPr>
    </w:p>
    <w:p>
      <w:pPr>
        <w:ind w:firstLine="0" w:firstLineChars="0"/>
        <w:rPr>
          <w:shd w:val="clear" w:color="auto" w:fill="FFFFFF"/>
        </w:rPr>
      </w:pPr>
    </w:p>
    <w:p>
      <w:pPr>
        <w:ind w:firstLine="0" w:firstLineChars="0"/>
        <w:rPr>
          <w:shd w:val="clear" w:color="auto" w:fill="FFFFFF"/>
        </w:rPr>
      </w:pPr>
    </w:p>
    <w:p>
      <w:pPr>
        <w:ind w:firstLine="0" w:firstLineChars="0"/>
        <w:rPr>
          <w:shd w:val="clear" w:color="auto" w:fill="FFFFFF"/>
        </w:rPr>
      </w:pPr>
    </w:p>
    <w:p>
      <w:pPr>
        <w:ind w:firstLine="0" w:firstLineChars="0"/>
        <w:rPr>
          <w:shd w:val="clear" w:color="auto" w:fill="FFFFFF"/>
        </w:rPr>
      </w:pPr>
    </w:p>
    <w:p>
      <w:pPr>
        <w:ind w:firstLine="0" w:firstLineChars="0"/>
        <w:rPr>
          <w:shd w:val="clear" w:color="auto" w:fill="FFFFFF"/>
        </w:rPr>
      </w:pPr>
    </w:p>
    <w:p>
      <w:pPr>
        <w:ind w:firstLine="0" w:firstLineChars="0"/>
        <w:rPr>
          <w:shd w:val="clear" w:color="auto" w:fill="FFFFFF"/>
        </w:rPr>
      </w:pPr>
    </w:p>
    <w:p>
      <w:pPr>
        <w:ind w:firstLine="0" w:firstLineChars="0"/>
        <w:rPr>
          <w:shd w:val="clear" w:color="auto" w:fill="FFFFFF"/>
        </w:rPr>
      </w:pPr>
    </w:p>
    <w:p>
      <w:pPr>
        <w:ind w:firstLine="0" w:firstLineChars="0"/>
        <w:rPr>
          <w:shd w:val="clear" w:color="auto" w:fill="FFFFFF"/>
        </w:rPr>
      </w:pPr>
    </w:p>
    <w:p>
      <w:pPr>
        <w:ind w:firstLine="0" w:firstLineChars="0"/>
        <w:rPr>
          <w:shd w:val="clear" w:color="auto" w:fill="FFFFFF"/>
        </w:rPr>
      </w:pPr>
    </w:p>
    <w:p>
      <w:pPr>
        <w:ind w:firstLine="0" w:firstLineChars="0"/>
        <w:rPr>
          <w:shd w:val="clear" w:color="auto" w:fill="FFFFFF"/>
        </w:rPr>
      </w:pPr>
    </w:p>
    <w:p>
      <w:pPr>
        <w:ind w:firstLine="0" w:firstLineChars="0"/>
        <w:rPr>
          <w:shd w:val="clear" w:color="auto" w:fill="FFFFFF"/>
        </w:rPr>
      </w:pPr>
    </w:p>
    <w:p>
      <w:pPr>
        <w:ind w:firstLine="0" w:firstLineChars="0"/>
        <w:rPr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00000000"/>
    <w:rsid w:val="7C23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99"/>
    <w:pPr>
      <w:ind w:firstLine="0" w:firstLineChars="0"/>
      <w:jc w:val="center"/>
      <w:outlineLvl w:val="0"/>
    </w:pPr>
    <w:rPr>
      <w:rFonts w:ascii="方正小标宋简体" w:hAnsi="等线 Light" w:eastAsia="方正小标宋简体"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2023-12-08T00:51:24Z</dcterms:created>
  <dc:creator>1</dc:creator>
  <cp:lastModifiedBy>sai</cp:lastModifiedBy>
  <dcterms:modified xsi:type="dcterms:W3CDTF">2023-12-08T00:51:49Z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E822EA2A7F6549A2A90BB4143CDC5DF6_12</vt:lpwstr>
  </property>
</Properties>
</file>