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天津市民政局 天津市财政局关于开展因病支出型困难家庭医疗救助工作的通知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both"/>
        <w:rPr>
          <w:rFonts w:hint="default" w:ascii="Times New Roman" w:hAnsi="Times New Roman" w:cs="Times New Roman"/>
          <w:sz w:val="28"/>
          <w:szCs w:val="28"/>
        </w:rPr>
      </w:pPr>
      <w:r>
        <w:rPr>
          <w:rFonts w:ascii="仿宋" w:hAnsi="仿宋" w:eastAsia="仿宋" w:cs="仿宋"/>
          <w:i w:val="0"/>
          <w:iCs w:val="0"/>
          <w:caps w:val="0"/>
          <w:color w:val="000000"/>
          <w:spacing w:val="0"/>
          <w:kern w:val="0"/>
          <w:sz w:val="28"/>
          <w:szCs w:val="28"/>
          <w:bdr w:val="none" w:color="auto" w:sz="0" w:space="0"/>
          <w:lang w:val="en-US" w:eastAsia="zh-CN" w:bidi="ar"/>
        </w:rPr>
        <w:t>各区民政局，财政局：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为全面贯彻落实党的十九大关于“兜底线、织密网、建机制”的决策部署，进一步推动落实市委、市政府关于实施精准救助的任务要求，着力提升患大病的边缘困难群体救助帮扶水平，夯实民生保障的最后一道安全网，切实防范冲击社会道德底线事件发生，经研究，决定开展因病支出型困难家庭医疗救助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ascii="黑体" w:hAnsi="宋体" w:eastAsia="黑体" w:cs="黑体"/>
          <w:i w:val="0"/>
          <w:iCs w:val="0"/>
          <w:caps w:val="0"/>
          <w:color w:val="000000"/>
          <w:spacing w:val="0"/>
          <w:kern w:val="0"/>
          <w:sz w:val="28"/>
          <w:szCs w:val="28"/>
          <w:bdr w:val="none" w:color="auto" w:sz="0" w:space="0"/>
          <w:shd w:val="clear" w:fill="FFFFFF"/>
          <w:lang w:val="en-US" w:eastAsia="zh-CN" w:bidi="ar"/>
        </w:rPr>
        <w:t>一、重要意义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医疗救助是社会救助体系的一项重要内容。目前，我市已经构建起面向低保、低收入家庭、特困供养人员和重度残疾人等困难群众的全方位、多层次和城乡统筹的医疗救助体系，为保障困难群众基本生活发挥了重要作用。但随着经济社会不断发展，医疗救助工作也面临着一些新情况、新问题，个别庭收入高于社会救助标准的重特大疾病患者，因发生高额医疗费用、超过家庭承受能力、基本生活出现严重困难（以下简称“因病支出型困难家庭”），生活陷入困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市委、市政府始终高度重视保障和改善民生工作，坚持以群众反映突出的问题为导向，将提高因病支出型救助标准，扩大救助范围纳入重点工作，予以大力推动。各区民政局、财政局要充分认识开展因病支出型困难家庭医疗救助工作的重要意义，充分发挥社会救助的兜底保障作用，在继续做好困难群众医疗救助工作的同时，积极开展因病支出型困难家庭医疗救助，最大限度减轻困难群众医疗支出负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640" w:right="0"/>
        <w:jc w:val="both"/>
        <w:rPr>
          <w:rFonts w:hint="default" w:ascii="Times New Roman" w:hAnsi="Times New Roman" w:cs="Times New Roman"/>
          <w:sz w:val="28"/>
          <w:szCs w:val="28"/>
        </w:rPr>
      </w:pPr>
      <w:r>
        <w:rPr>
          <w:rFonts w:hint="eastAsia" w:ascii="黑体" w:hAnsi="宋体" w:eastAsia="黑体" w:cs="黑体"/>
          <w:i w:val="0"/>
          <w:iCs w:val="0"/>
          <w:caps w:val="0"/>
          <w:color w:val="000000"/>
          <w:spacing w:val="0"/>
          <w:kern w:val="0"/>
          <w:sz w:val="28"/>
          <w:szCs w:val="28"/>
          <w:bdr w:val="none" w:color="auto" w:sz="0" w:space="0"/>
          <w:lang w:val="en-US" w:eastAsia="zh-CN" w:bidi="ar"/>
        </w:rPr>
        <w:t>二、认定条件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64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因病支出型困难家庭应同时满足以下条件</w:t>
      </w:r>
      <w:r>
        <w:rPr>
          <w:rFonts w:ascii="Calibri" w:hAnsi="Calibri" w:eastAsia="仿宋_GB2312" w:cs="Calibri"/>
          <w:i w:val="0"/>
          <w:iCs w:val="0"/>
          <w:caps w:val="0"/>
          <w:color w:val="000000"/>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（一）患病人员具有本市户籍；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（二）家庭月人均收入低于3倍低保标准；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三）家庭成员一个自然年度内在本市医保定点医院或经转诊到外地医保定点医院产生的住院（含门诊特殊病）医疗费用总和，经基本医疗保险、大病保险及其他商业保险报销及赔付后，个人负担部分高于上年家庭总收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（四）家庭财产符合《天津市社会救助家庭经济状况核定办法》（津民发</w:t>
      </w:r>
      <w:r>
        <w:rPr>
          <w:rFonts w:hint="eastAsia" w:ascii="仿宋" w:hAnsi="仿宋" w:eastAsia="仿宋" w:cs="仿宋"/>
          <w:i w:val="0"/>
          <w:iCs w:val="0"/>
          <w:caps w:val="0"/>
          <w:color w:val="3D3D3D"/>
          <w:spacing w:val="-6"/>
          <w:kern w:val="0"/>
          <w:sz w:val="28"/>
          <w:szCs w:val="28"/>
          <w:bdr w:val="none" w:color="auto" w:sz="0" w:space="0"/>
          <w:lang w:val="en-US" w:eastAsia="zh-CN" w:bidi="ar"/>
        </w:rPr>
        <w:t>〔</w:t>
      </w:r>
      <w:r>
        <w:rPr>
          <w:rFonts w:hint="default" w:ascii="Calibri" w:hAnsi="Calibri" w:eastAsia="仿宋_GB2312" w:cs="Calibri"/>
          <w:i w:val="0"/>
          <w:iCs w:val="0"/>
          <w:caps w:val="0"/>
          <w:color w:val="3D3D3D"/>
          <w:spacing w:val="-6"/>
          <w:kern w:val="0"/>
          <w:sz w:val="28"/>
          <w:szCs w:val="28"/>
          <w:bdr w:val="none" w:color="auto" w:sz="0" w:space="0"/>
          <w:lang w:val="en-US" w:eastAsia="zh-CN" w:bidi="ar"/>
        </w:rPr>
        <w:t>2017</w:t>
      </w:r>
      <w:r>
        <w:rPr>
          <w:rFonts w:hint="eastAsia" w:ascii="仿宋" w:hAnsi="仿宋" w:eastAsia="仿宋" w:cs="仿宋"/>
          <w:i w:val="0"/>
          <w:iCs w:val="0"/>
          <w:caps w:val="0"/>
          <w:color w:val="3D3D3D"/>
          <w:spacing w:val="-6"/>
          <w:kern w:val="0"/>
          <w:sz w:val="28"/>
          <w:szCs w:val="28"/>
          <w:bdr w:val="none" w:color="auto" w:sz="0" w:space="0"/>
          <w:lang w:val="en-US" w:eastAsia="zh-CN" w:bidi="ar"/>
        </w:rPr>
        <w:t>〕</w:t>
      </w:r>
      <w:r>
        <w:rPr>
          <w:rFonts w:hint="default" w:ascii="Calibri" w:hAnsi="Calibri" w:eastAsia="仿宋_GB2312" w:cs="Calibri"/>
          <w:i w:val="0"/>
          <w:iCs w:val="0"/>
          <w:caps w:val="0"/>
          <w:color w:val="3D3D3D"/>
          <w:spacing w:val="-6"/>
          <w:kern w:val="0"/>
          <w:sz w:val="28"/>
          <w:szCs w:val="28"/>
          <w:bdr w:val="none" w:color="auto" w:sz="0" w:space="0"/>
          <w:lang w:val="en-US" w:eastAsia="zh-CN" w:bidi="ar"/>
        </w:rPr>
        <w:t>79</w:t>
      </w:r>
      <w:r>
        <w:rPr>
          <w:rFonts w:hint="eastAsia" w:ascii="仿宋" w:hAnsi="仿宋" w:eastAsia="仿宋" w:cs="仿宋"/>
          <w:i w:val="0"/>
          <w:iCs w:val="0"/>
          <w:caps w:val="0"/>
          <w:color w:val="3D3D3D"/>
          <w:spacing w:val="-6"/>
          <w:kern w:val="0"/>
          <w:sz w:val="28"/>
          <w:szCs w:val="28"/>
          <w:bdr w:val="none" w:color="auto" w:sz="0" w:space="0"/>
          <w:lang w:val="en-US" w:eastAsia="zh-CN" w:bidi="ar"/>
        </w:rPr>
        <w:t>号</w:t>
      </w:r>
      <w:r>
        <w:rPr>
          <w:rFonts w:hint="eastAsia" w:ascii="仿宋" w:hAnsi="仿宋" w:eastAsia="仿宋" w:cs="仿宋"/>
          <w:i w:val="0"/>
          <w:iCs w:val="0"/>
          <w:caps w:val="0"/>
          <w:color w:val="000000"/>
          <w:spacing w:val="0"/>
          <w:kern w:val="0"/>
          <w:sz w:val="28"/>
          <w:szCs w:val="28"/>
          <w:bdr w:val="none" w:color="auto" w:sz="0" w:space="0"/>
          <w:lang w:val="en-US" w:eastAsia="zh-CN" w:bidi="ar"/>
        </w:rPr>
        <w:t>）要求；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（五）医疗费用未经医疗救助报销。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黑体" w:hAnsi="宋体" w:eastAsia="黑体" w:cs="黑体"/>
          <w:i w:val="0"/>
          <w:iCs w:val="0"/>
          <w:caps w:val="0"/>
          <w:color w:val="000000"/>
          <w:spacing w:val="0"/>
          <w:kern w:val="0"/>
          <w:sz w:val="28"/>
          <w:szCs w:val="28"/>
          <w:bdr w:val="none" w:color="auto" w:sz="0" w:space="0"/>
          <w:lang w:val="en-US" w:eastAsia="zh-CN" w:bidi="ar"/>
        </w:rPr>
        <w:t>三、救助标准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对年度家庭医疗费用经基本医疗保险、大病保险和其他商业保险报销及赔付后，个人自付的部分给予救助，救助比例为</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50%</w:t>
      </w:r>
      <w:r>
        <w:rPr>
          <w:rFonts w:hint="eastAsia" w:ascii="仿宋" w:hAnsi="仿宋" w:eastAsia="仿宋" w:cs="仿宋"/>
          <w:i w:val="0"/>
          <w:iCs w:val="0"/>
          <w:caps w:val="0"/>
          <w:color w:val="000000"/>
          <w:spacing w:val="0"/>
          <w:kern w:val="0"/>
          <w:sz w:val="28"/>
          <w:szCs w:val="28"/>
          <w:bdr w:val="none" w:color="auto" w:sz="0" w:space="0"/>
          <w:lang w:val="en-US" w:eastAsia="zh-CN" w:bidi="ar"/>
        </w:rPr>
        <w:t>，家庭救助总金额不超过</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5</w:t>
      </w:r>
      <w:r>
        <w:rPr>
          <w:rFonts w:hint="eastAsia" w:ascii="仿宋" w:hAnsi="仿宋" w:eastAsia="仿宋" w:cs="仿宋"/>
          <w:i w:val="0"/>
          <w:iCs w:val="0"/>
          <w:caps w:val="0"/>
          <w:color w:val="000000"/>
          <w:spacing w:val="0"/>
          <w:kern w:val="0"/>
          <w:sz w:val="28"/>
          <w:szCs w:val="28"/>
          <w:bdr w:val="none" w:color="auto" w:sz="0" w:space="0"/>
          <w:lang w:val="en-US" w:eastAsia="zh-CN" w:bidi="ar"/>
        </w:rPr>
        <w:t>万元（含）。</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黑体" w:hAnsi="宋体" w:eastAsia="黑体" w:cs="黑体"/>
          <w:i w:val="0"/>
          <w:iCs w:val="0"/>
          <w:caps w:val="0"/>
          <w:color w:val="000000"/>
          <w:spacing w:val="0"/>
          <w:kern w:val="0"/>
          <w:sz w:val="28"/>
          <w:szCs w:val="28"/>
          <w:bdr w:val="none" w:color="auto" w:sz="0" w:space="0"/>
          <w:lang w:val="en-US" w:eastAsia="zh-CN" w:bidi="ar"/>
        </w:rPr>
        <w:t>四、救助程序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ascii="楷体" w:hAnsi="楷体" w:eastAsia="楷体" w:cs="楷体"/>
          <w:i w:val="0"/>
          <w:iCs w:val="0"/>
          <w:caps w:val="0"/>
          <w:color w:val="000000"/>
          <w:spacing w:val="0"/>
          <w:kern w:val="0"/>
          <w:sz w:val="28"/>
          <w:szCs w:val="28"/>
          <w:bdr w:val="none" w:color="auto" w:sz="0" w:space="0"/>
          <w:lang w:val="en-US" w:eastAsia="zh-CN" w:bidi="ar"/>
        </w:rPr>
        <w:t>（一）救助申请。</w:t>
      </w:r>
      <w:r>
        <w:rPr>
          <w:rFonts w:hint="eastAsia" w:ascii="仿宋" w:hAnsi="仿宋" w:eastAsia="仿宋" w:cs="仿宋"/>
          <w:i w:val="0"/>
          <w:iCs w:val="0"/>
          <w:caps w:val="0"/>
          <w:color w:val="000000"/>
          <w:spacing w:val="0"/>
          <w:kern w:val="0"/>
          <w:sz w:val="28"/>
          <w:szCs w:val="28"/>
          <w:bdr w:val="none" w:color="auto" w:sz="0" w:space="0"/>
          <w:lang w:val="en-US" w:eastAsia="zh-CN" w:bidi="ar"/>
        </w:rPr>
        <w:t>申请因病支出型困难家庭医疗救助，应由共同生活的家庭成员向户籍地乡镇人民政府、街道办事处提出书面申请并提交相关材料。家庭成员申请有困难的，也可委托村（居）民委员会代为提交申请。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lang w:val="en-US" w:eastAsia="zh-CN" w:bidi="ar"/>
        </w:rPr>
        <w:t>申请家庭应如</w:t>
      </w:r>
      <w:r>
        <w:rPr>
          <w:rFonts w:hint="eastAsia" w:ascii="仿宋" w:hAnsi="仿宋" w:eastAsia="仿宋" w:cs="仿宋"/>
          <w:i w:val="0"/>
          <w:iCs w:val="0"/>
          <w:caps w:val="0"/>
          <w:color w:val="000000"/>
          <w:spacing w:val="0"/>
          <w:kern w:val="0"/>
          <w:sz w:val="28"/>
          <w:szCs w:val="28"/>
          <w:bdr w:val="none" w:color="auto" w:sz="0" w:space="0"/>
          <w:lang w:val="en-US" w:eastAsia="zh-CN" w:bidi="ar"/>
        </w:rPr>
        <w:t>实申报家庭经济状况和医疗费用支出情况，授权区民政局对其家庭收入、家庭财产和医疗费用支出情况进行核查，并提供没有医疗救助、优抚补助标识的医疗费用票据及其他相关材料。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申请救助的家庭应在医疗费用发生的当年或次年提交救助申请。跨年度医疗费用不进行累加。同一家庭一年内只能申请</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1</w:t>
      </w:r>
      <w:r>
        <w:rPr>
          <w:rFonts w:hint="eastAsia" w:ascii="仿宋" w:hAnsi="仿宋" w:eastAsia="仿宋" w:cs="仿宋"/>
          <w:i w:val="0"/>
          <w:iCs w:val="0"/>
          <w:caps w:val="0"/>
          <w:color w:val="000000"/>
          <w:spacing w:val="0"/>
          <w:kern w:val="0"/>
          <w:sz w:val="28"/>
          <w:szCs w:val="28"/>
          <w:bdr w:val="none" w:color="auto" w:sz="0" w:space="0"/>
          <w:lang w:val="en-US" w:eastAsia="zh-CN" w:bidi="ar"/>
        </w:rPr>
        <w:t>次救助。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楷体" w:hAnsi="楷体" w:eastAsia="楷体" w:cs="楷体"/>
          <w:i w:val="0"/>
          <w:iCs w:val="0"/>
          <w:caps w:val="0"/>
          <w:color w:val="000000"/>
          <w:spacing w:val="0"/>
          <w:kern w:val="0"/>
          <w:sz w:val="28"/>
          <w:szCs w:val="28"/>
          <w:bdr w:val="none" w:color="auto" w:sz="0" w:space="0"/>
          <w:lang w:val="en-US" w:eastAsia="zh-CN" w:bidi="ar"/>
        </w:rPr>
        <w:t>（二）审核审批。</w:t>
      </w:r>
      <w:r>
        <w:rPr>
          <w:rFonts w:hint="eastAsia" w:ascii="仿宋" w:hAnsi="仿宋" w:eastAsia="仿宋" w:cs="仿宋"/>
          <w:i w:val="0"/>
          <w:iCs w:val="0"/>
          <w:caps w:val="0"/>
          <w:color w:val="000000"/>
          <w:spacing w:val="0"/>
          <w:kern w:val="0"/>
          <w:sz w:val="28"/>
          <w:szCs w:val="28"/>
          <w:bdr w:val="none" w:color="auto" w:sz="0" w:space="0"/>
          <w:lang w:val="en-US" w:eastAsia="zh-CN" w:bidi="ar"/>
        </w:rPr>
        <w:t>乡镇人民政府、街道办事处受理申请后，通过入户调查、邻里访问、信函索证、信息比对等方式，对申请人家庭收入、财产状况和医疗费用进行调查核实。调查结果在申请人所在村、社区进行公示，并将调查结果报区民政局审批。区民政局对符合条件的，及时进行审批，确定救助金额；对不符合条件的，不予批准，并书面向申请人说明理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楷体" w:hAnsi="楷体" w:eastAsia="楷体" w:cs="楷体"/>
          <w:i w:val="0"/>
          <w:iCs w:val="0"/>
          <w:caps w:val="0"/>
          <w:color w:val="000000"/>
          <w:spacing w:val="0"/>
          <w:kern w:val="0"/>
          <w:sz w:val="28"/>
          <w:szCs w:val="28"/>
          <w:bdr w:val="none" w:color="auto" w:sz="0" w:space="0"/>
          <w:lang w:val="en-US" w:eastAsia="zh-CN" w:bidi="ar"/>
        </w:rPr>
        <w:t>（三）资金发放。</w:t>
      </w:r>
      <w:r>
        <w:rPr>
          <w:rFonts w:hint="eastAsia" w:ascii="仿宋" w:hAnsi="仿宋" w:eastAsia="仿宋" w:cs="仿宋"/>
          <w:i w:val="0"/>
          <w:iCs w:val="0"/>
          <w:caps w:val="0"/>
          <w:color w:val="000000"/>
          <w:spacing w:val="0"/>
          <w:kern w:val="0"/>
          <w:sz w:val="28"/>
          <w:szCs w:val="28"/>
          <w:bdr w:val="none" w:color="auto" w:sz="0" w:space="0"/>
          <w:lang w:val="en-US" w:eastAsia="zh-CN" w:bidi="ar"/>
        </w:rPr>
        <w:t>因病支出型困难家庭医疗救助资金实行社会化发放，由乡镇人民政府、街道办事处或区民政局直接支付到申请家庭提供的银行、信用社等金融机构账户。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黑体" w:hAnsi="宋体" w:eastAsia="黑体" w:cs="黑体"/>
          <w:i w:val="0"/>
          <w:iCs w:val="0"/>
          <w:caps w:val="0"/>
          <w:color w:val="000000"/>
          <w:spacing w:val="0"/>
          <w:kern w:val="0"/>
          <w:sz w:val="28"/>
          <w:szCs w:val="28"/>
          <w:bdr w:val="none" w:color="auto" w:sz="0" w:space="0"/>
          <w:lang w:val="en-US" w:eastAsia="zh-CN" w:bidi="ar"/>
        </w:rPr>
        <w:t>五、资金来源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开展因病支出型困难家庭医疗救助所需资金由各区负担，市财政参照津贴补贴市对区转移支付范围和比例给予困难区补助。市级补助资金采取提前下达和年终结算方式拨付。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本通知自</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2019</w:t>
      </w:r>
      <w:r>
        <w:rPr>
          <w:rFonts w:hint="eastAsia" w:ascii="仿宋" w:hAnsi="仿宋" w:eastAsia="仿宋" w:cs="仿宋"/>
          <w:i w:val="0"/>
          <w:iCs w:val="0"/>
          <w:caps w:val="0"/>
          <w:color w:val="000000"/>
          <w:spacing w:val="0"/>
          <w:kern w:val="0"/>
          <w:sz w:val="28"/>
          <w:szCs w:val="28"/>
          <w:bdr w:val="none" w:color="auto" w:sz="0" w:space="0"/>
          <w:lang w:val="en-US" w:eastAsia="zh-CN" w:bidi="ar"/>
        </w:rPr>
        <w:t>年</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1</w:t>
      </w:r>
      <w:r>
        <w:rPr>
          <w:rFonts w:hint="eastAsia" w:ascii="仿宋" w:hAnsi="仿宋" w:eastAsia="仿宋" w:cs="仿宋"/>
          <w:i w:val="0"/>
          <w:iCs w:val="0"/>
          <w:caps w:val="0"/>
          <w:color w:val="000000"/>
          <w:spacing w:val="0"/>
          <w:kern w:val="0"/>
          <w:sz w:val="28"/>
          <w:szCs w:val="28"/>
          <w:bdr w:val="none" w:color="auto" w:sz="0" w:space="0"/>
          <w:lang w:val="en-US" w:eastAsia="zh-CN" w:bidi="ar"/>
        </w:rPr>
        <w:t>月</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1</w:t>
      </w:r>
      <w:r>
        <w:rPr>
          <w:rFonts w:hint="eastAsia" w:ascii="仿宋" w:hAnsi="仿宋" w:eastAsia="仿宋" w:cs="仿宋"/>
          <w:i w:val="0"/>
          <w:iCs w:val="0"/>
          <w:caps w:val="0"/>
          <w:color w:val="000000"/>
          <w:spacing w:val="0"/>
          <w:kern w:val="0"/>
          <w:sz w:val="28"/>
          <w:szCs w:val="28"/>
          <w:bdr w:val="none" w:color="auto" w:sz="0" w:space="0"/>
          <w:lang w:val="en-US" w:eastAsia="zh-CN" w:bidi="ar"/>
        </w:rPr>
        <w:t>日起执行，适用于</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2019</w:t>
      </w:r>
      <w:r>
        <w:rPr>
          <w:rFonts w:hint="eastAsia" w:ascii="仿宋" w:hAnsi="仿宋" w:eastAsia="仿宋" w:cs="仿宋"/>
          <w:i w:val="0"/>
          <w:iCs w:val="0"/>
          <w:caps w:val="0"/>
          <w:color w:val="000000"/>
          <w:spacing w:val="0"/>
          <w:kern w:val="0"/>
          <w:sz w:val="28"/>
          <w:szCs w:val="28"/>
          <w:bdr w:val="none" w:color="auto" w:sz="0" w:space="0"/>
          <w:lang w:val="en-US" w:eastAsia="zh-CN" w:bidi="ar"/>
        </w:rPr>
        <w:t>年</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1</w:t>
      </w:r>
      <w:r>
        <w:rPr>
          <w:rFonts w:hint="eastAsia" w:ascii="仿宋" w:hAnsi="仿宋" w:eastAsia="仿宋" w:cs="仿宋"/>
          <w:i w:val="0"/>
          <w:iCs w:val="0"/>
          <w:caps w:val="0"/>
          <w:color w:val="000000"/>
          <w:spacing w:val="0"/>
          <w:kern w:val="0"/>
          <w:sz w:val="28"/>
          <w:szCs w:val="28"/>
          <w:bdr w:val="none" w:color="auto" w:sz="0" w:space="0"/>
          <w:lang w:val="en-US" w:eastAsia="zh-CN" w:bidi="ar"/>
        </w:rPr>
        <w:t>月</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1</w:t>
      </w:r>
      <w:r>
        <w:rPr>
          <w:rFonts w:hint="eastAsia" w:ascii="仿宋" w:hAnsi="仿宋" w:eastAsia="仿宋" w:cs="仿宋"/>
          <w:i w:val="0"/>
          <w:iCs w:val="0"/>
          <w:caps w:val="0"/>
          <w:color w:val="000000"/>
          <w:spacing w:val="0"/>
          <w:kern w:val="0"/>
          <w:sz w:val="28"/>
          <w:szCs w:val="28"/>
          <w:bdr w:val="none" w:color="auto" w:sz="0" w:space="0"/>
          <w:lang w:val="en-US" w:eastAsia="zh-CN" w:bidi="ar"/>
        </w:rPr>
        <w:t>日之后产生的医疗费用，</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2019</w:t>
      </w:r>
      <w:r>
        <w:rPr>
          <w:rFonts w:hint="eastAsia" w:ascii="仿宋" w:hAnsi="仿宋" w:eastAsia="仿宋" w:cs="仿宋"/>
          <w:i w:val="0"/>
          <w:iCs w:val="0"/>
          <w:caps w:val="0"/>
          <w:color w:val="000000"/>
          <w:spacing w:val="0"/>
          <w:kern w:val="0"/>
          <w:sz w:val="28"/>
          <w:szCs w:val="28"/>
          <w:bdr w:val="none" w:color="auto" w:sz="0" w:space="0"/>
          <w:lang w:val="en-US" w:eastAsia="zh-CN" w:bidi="ar"/>
        </w:rPr>
        <w:t>年</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1</w:t>
      </w:r>
      <w:r>
        <w:rPr>
          <w:rFonts w:hint="eastAsia" w:ascii="仿宋" w:hAnsi="仿宋" w:eastAsia="仿宋" w:cs="仿宋"/>
          <w:i w:val="0"/>
          <w:iCs w:val="0"/>
          <w:caps w:val="0"/>
          <w:color w:val="000000"/>
          <w:spacing w:val="0"/>
          <w:kern w:val="0"/>
          <w:sz w:val="28"/>
          <w:szCs w:val="28"/>
          <w:bdr w:val="none" w:color="auto" w:sz="0" w:space="0"/>
          <w:lang w:val="en-US" w:eastAsia="zh-CN" w:bidi="ar"/>
        </w:rPr>
        <w:t>月</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1</w:t>
      </w:r>
      <w:r>
        <w:rPr>
          <w:rFonts w:hint="eastAsia" w:ascii="仿宋" w:hAnsi="仿宋" w:eastAsia="仿宋" w:cs="仿宋"/>
          <w:i w:val="0"/>
          <w:iCs w:val="0"/>
          <w:caps w:val="0"/>
          <w:color w:val="000000"/>
          <w:spacing w:val="0"/>
          <w:kern w:val="0"/>
          <w:sz w:val="28"/>
          <w:szCs w:val="28"/>
          <w:bdr w:val="none" w:color="auto" w:sz="0" w:space="0"/>
          <w:lang w:val="en-US" w:eastAsia="zh-CN" w:bidi="ar"/>
        </w:rPr>
        <w:t>日之前产生的医疗费用救助按《天津市民政局 天津市财政局关于开展因病支出型困难家庭救助有关工作的通知》（</w:t>
      </w:r>
      <w:r>
        <w:rPr>
          <w:rFonts w:hint="eastAsia" w:ascii="仿宋" w:hAnsi="仿宋" w:eastAsia="仿宋" w:cs="仿宋"/>
          <w:i w:val="0"/>
          <w:iCs w:val="0"/>
          <w:caps w:val="0"/>
          <w:color w:val="3D3D3D"/>
          <w:spacing w:val="-6"/>
          <w:kern w:val="0"/>
          <w:sz w:val="28"/>
          <w:szCs w:val="28"/>
          <w:bdr w:val="none" w:color="auto" w:sz="0" w:space="0"/>
          <w:lang w:val="en-US" w:eastAsia="zh-CN" w:bidi="ar"/>
        </w:rPr>
        <w:t>津民发〔</w:t>
      </w:r>
      <w:r>
        <w:rPr>
          <w:rFonts w:hint="default" w:ascii="Calibri" w:hAnsi="Calibri" w:eastAsia="仿宋_GB2312" w:cs="Calibri"/>
          <w:i w:val="0"/>
          <w:iCs w:val="0"/>
          <w:caps w:val="0"/>
          <w:color w:val="3D3D3D"/>
          <w:spacing w:val="-6"/>
          <w:kern w:val="0"/>
          <w:sz w:val="28"/>
          <w:szCs w:val="28"/>
          <w:bdr w:val="none" w:color="auto" w:sz="0" w:space="0"/>
          <w:lang w:val="en-US" w:eastAsia="zh-CN" w:bidi="ar"/>
        </w:rPr>
        <w:t>2016</w:t>
      </w:r>
      <w:r>
        <w:rPr>
          <w:rFonts w:hint="eastAsia" w:ascii="仿宋" w:hAnsi="仿宋" w:eastAsia="仿宋" w:cs="仿宋"/>
          <w:i w:val="0"/>
          <w:iCs w:val="0"/>
          <w:caps w:val="0"/>
          <w:color w:val="3D3D3D"/>
          <w:spacing w:val="-6"/>
          <w:kern w:val="0"/>
          <w:sz w:val="28"/>
          <w:szCs w:val="28"/>
          <w:bdr w:val="none" w:color="auto" w:sz="0" w:space="0"/>
          <w:lang w:val="en-US" w:eastAsia="zh-CN" w:bidi="ar"/>
        </w:rPr>
        <w:t>〕</w:t>
      </w:r>
      <w:r>
        <w:rPr>
          <w:rFonts w:hint="default" w:ascii="Calibri" w:hAnsi="Calibri" w:eastAsia="仿宋_GB2312" w:cs="Calibri"/>
          <w:i w:val="0"/>
          <w:iCs w:val="0"/>
          <w:caps w:val="0"/>
          <w:color w:val="3D3D3D"/>
          <w:spacing w:val="-6"/>
          <w:kern w:val="0"/>
          <w:sz w:val="28"/>
          <w:szCs w:val="28"/>
          <w:bdr w:val="none" w:color="auto" w:sz="0" w:space="0"/>
          <w:lang w:val="en-US" w:eastAsia="zh-CN" w:bidi="ar"/>
        </w:rPr>
        <w:t>28</w:t>
      </w:r>
      <w:r>
        <w:rPr>
          <w:rFonts w:hint="eastAsia" w:ascii="仿宋" w:hAnsi="仿宋" w:eastAsia="仿宋" w:cs="仿宋"/>
          <w:i w:val="0"/>
          <w:iCs w:val="0"/>
          <w:caps w:val="0"/>
          <w:color w:val="3D3D3D"/>
          <w:spacing w:val="-6"/>
          <w:kern w:val="0"/>
          <w:sz w:val="28"/>
          <w:szCs w:val="28"/>
          <w:bdr w:val="none" w:color="auto" w:sz="0" w:space="0"/>
          <w:lang w:val="en-US" w:eastAsia="zh-CN" w:bidi="ar"/>
        </w:rPr>
        <w:t>号</w:t>
      </w:r>
      <w:r>
        <w:rPr>
          <w:rFonts w:hint="eastAsia" w:ascii="仿宋" w:hAnsi="仿宋" w:eastAsia="仿宋" w:cs="仿宋"/>
          <w:i w:val="0"/>
          <w:iCs w:val="0"/>
          <w:caps w:val="0"/>
          <w:color w:val="000000"/>
          <w:spacing w:val="0"/>
          <w:kern w:val="0"/>
          <w:sz w:val="28"/>
          <w:szCs w:val="28"/>
          <w:bdr w:val="none" w:color="auto" w:sz="0" w:space="0"/>
          <w:lang w:val="en-US" w:eastAsia="zh-CN" w:bidi="ar"/>
        </w:rPr>
        <w:t>）执行。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附件：因病支出型困难家庭医疗救助审核审批表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lang w:val="en-US" w:eastAsia="zh-CN" w:bidi="ar"/>
        </w:rPr>
        <w:t>     </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  </w:t>
      </w:r>
      <w:r>
        <w:rPr>
          <w:rFonts w:hint="eastAsia" w:ascii="仿宋" w:hAnsi="仿宋" w:eastAsia="仿宋" w:cs="仿宋"/>
          <w:i w:val="0"/>
          <w:iCs w:val="0"/>
          <w:caps w:val="0"/>
          <w:color w:val="000000"/>
          <w:spacing w:val="0"/>
          <w:kern w:val="0"/>
          <w:sz w:val="28"/>
          <w:szCs w:val="28"/>
          <w:bdr w:val="none" w:color="auto" w:sz="0" w:space="0"/>
          <w:lang w:val="en-US" w:eastAsia="zh-CN" w:bidi="ar"/>
        </w:rPr>
        <w:t>天津市民政局</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           </w:t>
      </w:r>
      <w:r>
        <w:rPr>
          <w:rFonts w:hint="eastAsia" w:ascii="仿宋" w:hAnsi="仿宋" w:eastAsia="仿宋" w:cs="仿宋"/>
          <w:i w:val="0"/>
          <w:iCs w:val="0"/>
          <w:caps w:val="0"/>
          <w:color w:val="000000"/>
          <w:spacing w:val="0"/>
          <w:kern w:val="0"/>
          <w:sz w:val="28"/>
          <w:szCs w:val="28"/>
          <w:bdr w:val="none" w:color="auto" w:sz="0" w:space="0"/>
          <w:lang w:val="en-US" w:eastAsia="zh-CN" w:bidi="ar"/>
        </w:rPr>
        <w:t>天津市财政局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center"/>
        <w:rPr>
          <w:rFonts w:hint="default" w:ascii="Times New Roman" w:hAnsi="Times New Roman" w:cs="Times New Roman"/>
          <w:sz w:val="28"/>
          <w:szCs w:val="28"/>
        </w:rPr>
      </w:pPr>
      <w:r>
        <w:rPr>
          <w:rFonts w:hint="default" w:ascii="Calibri" w:hAnsi="Calibri" w:eastAsia="仿宋_GB2312" w:cs="Calibri"/>
          <w:i w:val="0"/>
          <w:iCs w:val="0"/>
          <w:caps w:val="0"/>
          <w:color w:val="000000"/>
          <w:spacing w:val="0"/>
          <w:kern w:val="0"/>
          <w:sz w:val="28"/>
          <w:szCs w:val="28"/>
          <w:bdr w:val="none" w:color="auto" w:sz="0" w:space="0"/>
          <w:lang w:val="en-US" w:eastAsia="zh-CN" w:bidi="ar"/>
        </w:rPr>
        <w:t>                      2018</w:t>
      </w:r>
      <w:r>
        <w:rPr>
          <w:rFonts w:hint="eastAsia" w:ascii="仿宋" w:hAnsi="仿宋" w:eastAsia="仿宋" w:cs="仿宋"/>
          <w:i w:val="0"/>
          <w:iCs w:val="0"/>
          <w:caps w:val="0"/>
          <w:color w:val="000000"/>
          <w:spacing w:val="0"/>
          <w:kern w:val="0"/>
          <w:sz w:val="28"/>
          <w:szCs w:val="28"/>
          <w:bdr w:val="none" w:color="auto" w:sz="0" w:space="0"/>
          <w:lang w:val="en-US" w:eastAsia="zh-CN" w:bidi="ar"/>
        </w:rPr>
        <w:t>年</w:t>
      </w:r>
      <w:r>
        <w:rPr>
          <w:rFonts w:hint="default" w:ascii="Calibri" w:hAnsi="Calibri" w:eastAsia="仿宋_GB2312" w:cs="Calibri"/>
          <w:i w:val="0"/>
          <w:iCs w:val="0"/>
          <w:caps w:val="0"/>
          <w:color w:val="000000"/>
          <w:spacing w:val="0"/>
          <w:kern w:val="0"/>
          <w:sz w:val="28"/>
          <w:szCs w:val="28"/>
          <w:bdr w:val="none" w:color="auto" w:sz="0" w:space="0"/>
          <w:lang w:val="en-US" w:eastAsia="zh-CN" w:bidi="ar"/>
        </w:rPr>
        <w:t>9</w:t>
      </w:r>
      <w:r>
        <w:rPr>
          <w:rFonts w:hint="eastAsia" w:ascii="仿宋" w:hAnsi="仿宋" w:eastAsia="仿宋" w:cs="仿宋"/>
          <w:i w:val="0"/>
          <w:iCs w:val="0"/>
          <w:caps w:val="0"/>
          <w:color w:val="000000"/>
          <w:spacing w:val="0"/>
          <w:kern w:val="0"/>
          <w:sz w:val="28"/>
          <w:szCs w:val="28"/>
          <w:bdr w:val="none" w:color="auto" w:sz="0" w:space="0"/>
          <w:lang w:val="en-US" w:eastAsia="zh-CN" w:bidi="ar"/>
        </w:rPr>
        <w:t>月14日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both"/>
        <w:rPr>
          <w:rFonts w:hint="default" w:ascii="Times New Roman" w:hAnsi="Times New Roman" w:cs="Times New Roman"/>
          <w:sz w:val="28"/>
          <w:szCs w:val="28"/>
        </w:rPr>
      </w:pPr>
      <w:r>
        <w:rPr>
          <w:rFonts w:hint="default" w:ascii="Calibri" w:hAnsi="Calibri" w:eastAsia="仿宋_GB2312" w:cs="Calibri"/>
          <w:i w:val="0"/>
          <w:iCs w:val="0"/>
          <w:caps w:val="0"/>
          <w:color w:val="000000"/>
          <w:spacing w:val="0"/>
          <w:kern w:val="0"/>
          <w:sz w:val="28"/>
          <w:szCs w:val="28"/>
          <w:bdr w:val="none" w:color="auto" w:sz="0" w:space="0"/>
          <w:lang w:val="en-US" w:eastAsia="zh-CN" w:bidi="ar"/>
        </w:rPr>
        <w:t>     </w:t>
      </w:r>
      <w:r>
        <w:rPr>
          <w:rFonts w:hint="eastAsia" w:ascii="仿宋" w:hAnsi="仿宋" w:eastAsia="仿宋" w:cs="仿宋"/>
          <w:i w:val="0"/>
          <w:iCs w:val="0"/>
          <w:caps w:val="0"/>
          <w:color w:val="000000"/>
          <w:spacing w:val="0"/>
          <w:kern w:val="0"/>
          <w:sz w:val="28"/>
          <w:szCs w:val="28"/>
          <w:bdr w:val="none" w:color="auto" w:sz="0" w:space="0"/>
          <w:lang w:val="en-US" w:eastAsia="zh-CN" w:bidi="ar"/>
        </w:rPr>
        <w:t>（此件主动公开）</w:t>
      </w:r>
    </w:p>
    <w:tbl>
      <w:tblPr>
        <w:tblW w:w="606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5"/>
        <w:gridCol w:w="5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500"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0" w:lineRule="atLeast"/>
              <w:ind w:left="0" w:right="0"/>
              <w:rPr>
                <w:sz w:val="28"/>
                <w:szCs w:val="28"/>
              </w:rPr>
            </w:pPr>
            <w:r>
              <w:rPr>
                <w:sz w:val="28"/>
                <w:szCs w:val="28"/>
                <w:bdr w:val="none" w:color="auto" w:sz="0" w:space="0"/>
              </w:rPr>
              <w:t>附件：</w:t>
            </w:r>
          </w:p>
        </w:tc>
        <w:tc>
          <w:tcPr>
            <w:tcW w:w="0" w:type="auto"/>
            <w:shd w:val="clear"/>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hanging="360"/>
              <w:rPr>
                <w:sz w:val="28"/>
                <w:szCs w:val="28"/>
              </w:rPr>
            </w:pPr>
            <w:r>
              <w:rPr>
                <w:color w:val="4681AF"/>
                <w:sz w:val="28"/>
                <w:szCs w:val="28"/>
                <w:u w:val="none"/>
                <w:bdr w:val="none" w:color="auto" w:sz="0" w:space="0"/>
              </w:rPr>
              <w:fldChar w:fldCharType="begin"/>
            </w:r>
            <w:r>
              <w:rPr>
                <w:color w:val="4681AF"/>
                <w:sz w:val="28"/>
                <w:szCs w:val="28"/>
                <w:u w:val="none"/>
                <w:bdr w:val="none" w:color="auto" w:sz="0" w:space="0"/>
              </w:rPr>
              <w:instrText xml:space="preserve"> HYPERLINK "https://mz.tj.gov.cn/ZWGK5878/ZCFG9602/zcwj/202012/W020201211741001512450.doc" </w:instrText>
            </w:r>
            <w:r>
              <w:rPr>
                <w:color w:val="4681AF"/>
                <w:sz w:val="28"/>
                <w:szCs w:val="28"/>
                <w:u w:val="none"/>
                <w:bdr w:val="none" w:color="auto" w:sz="0" w:space="0"/>
              </w:rPr>
              <w:fldChar w:fldCharType="separate"/>
            </w:r>
            <w:r>
              <w:rPr>
                <w:rStyle w:val="5"/>
                <w:color w:val="4681AF"/>
                <w:sz w:val="28"/>
                <w:szCs w:val="28"/>
                <w:u w:val="none"/>
                <w:bdr w:val="none" w:color="auto" w:sz="0" w:space="0"/>
              </w:rPr>
              <w:t>津民规〔2018〕2号 附件.doc</w:t>
            </w:r>
            <w:r>
              <w:rPr>
                <w:color w:val="4681AF"/>
                <w:sz w:val="28"/>
                <w:szCs w:val="28"/>
                <w:u w:val="none"/>
                <w:bdr w:val="none" w:color="auto" w:sz="0" w:space="0"/>
              </w:rPr>
              <w:fldChar w:fldCharType="end"/>
            </w:r>
          </w:p>
        </w:tc>
      </w:tr>
    </w:tbl>
    <w:p>
      <w:pPr>
        <w:rPr>
          <w:rFonts w:hint="eastAsia"/>
          <w:sz w:val="28"/>
          <w:szCs w:val="28"/>
        </w:rPr>
      </w:pP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C614E"/>
    <w:multiLevelType w:val="multilevel"/>
    <w:tmpl w:val="B50C614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3065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Words>
  <Characters>34</Characters>
  <Lines>0</Lines>
  <Paragraphs>0</Paragraphs>
  <TotalTime>0</TotalTime>
  <ScaleCrop>false</ScaleCrop>
  <LinksUpToDate>false</LinksUpToDate>
  <CharactersWithSpaces>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2023-06-26T13:10:09Z</dcterms:created>
  <dc:creator>1</dc:creator>
  <cp:lastModifiedBy>sai</cp:lastModifiedBy>
  <dcterms:modified xsi:type="dcterms:W3CDTF">2023-06-26T13:10:53Z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A78D337451CD4417955679D748CD6007_12</vt:lpwstr>
  </property>
</Properties>
</file>